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技术详细介绍</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一、案例名称</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4800t/年氧化钼高温焙烧烟气收尘项目</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二、项目概况</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本项目建设地点位于河南省洛阳市钼矿焙烧工厂，项目年设计年焙烧钼矿4800t/年，污染物主要来源于焙烧转炉中产生的大量粉尘及有价元素。项目于2016年6月开工建设，于2016年8月完成调试并建成投产</w:t>
      </w:r>
      <w:r>
        <w:rPr>
          <w:rFonts w:hint="eastAsia" w:ascii="仿宋_GB2312" w:eastAsia="仿宋_GB2312"/>
          <w:sz w:val="28"/>
          <w:szCs w:val="28"/>
          <w:lang w:eastAsia="zh-CN"/>
        </w:rPr>
        <w:t>，</w:t>
      </w:r>
      <w:r>
        <w:rPr>
          <w:rFonts w:hint="eastAsia" w:ascii="仿宋_GB2312" w:eastAsia="仿宋_GB2312"/>
          <w:sz w:val="28"/>
          <w:szCs w:val="28"/>
        </w:rPr>
        <w:t>稳定运行至今；二期第二套装置2017年</w:t>
      </w:r>
      <w:r>
        <w:rPr>
          <w:rFonts w:hint="eastAsia" w:ascii="仿宋_GB2312" w:eastAsia="仿宋_GB2312"/>
          <w:sz w:val="28"/>
          <w:szCs w:val="28"/>
          <w:lang w:val="en-US" w:eastAsia="zh-CN"/>
        </w:rPr>
        <w:t>12月</w:t>
      </w:r>
      <w:r>
        <w:rPr>
          <w:rFonts w:hint="eastAsia" w:ascii="仿宋_GB2312" w:eastAsia="仿宋_GB2312"/>
          <w:sz w:val="28"/>
          <w:szCs w:val="28"/>
        </w:rPr>
        <w:t>完成调试并建成投产</w:t>
      </w:r>
      <w:r>
        <w:rPr>
          <w:rFonts w:hint="eastAsia" w:ascii="仿宋_GB2312" w:eastAsia="仿宋_GB2312"/>
          <w:sz w:val="28"/>
          <w:szCs w:val="28"/>
          <w:lang w:eastAsia="zh-CN"/>
        </w:rPr>
        <w:t>，</w:t>
      </w:r>
      <w:r>
        <w:rPr>
          <w:rFonts w:hint="eastAsia" w:ascii="仿宋_GB2312" w:eastAsia="仿宋_GB2312"/>
          <w:sz w:val="28"/>
          <w:szCs w:val="28"/>
        </w:rPr>
        <w:t>稳定运行至今</w:t>
      </w:r>
      <w:r>
        <w:rPr>
          <w:rFonts w:hint="eastAsia" w:ascii="仿宋_GB2312" w:eastAsia="仿宋_GB2312"/>
          <w:sz w:val="28"/>
          <w:szCs w:val="28"/>
          <w:lang w:eastAsia="zh-CN"/>
        </w:rPr>
        <w:t>。</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三、工艺简介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（一）工艺流程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1、工艺原理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钼矿焙烧传统除尘方式是将回转窑高温烟气经旋风除尘回收部分粉尘，通过自然对流式空气表冷器降温后进入布袋除尘器，其工艺要求严格控制表冷器出口温度，温度过高会造成布袋烧袋损坏，温度过低会导致烟气中的酸气和水分结露，产生糊膜和粉尘吸潮结块，传统工艺主要存在除尘精度差、有价粉尘回收率低、布袋更换频繁、给生产连续和稳定带来很大隐患，同时增大了检修费用，提高了运行成本。    </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而该项目利用金属间化合物柔性膜高温除尘器高精度的特性有效提高钼回收率，利用金属间化合物高温除尘器耐高温、工作温度范围大的特点，通过物质气化点差异高效回收了金属铼。净化后的烟气用来生产硫酸，高品质的硫酸做为产品销售增加了项目附加值。通过升级改造，减少检修频次增加系统有效工作时间，单位时间内有价金属产量增加，环保达标排放，大幅提升企业核心竞争力。</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2、工艺路线描述</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传统工艺：</w:t>
      </w:r>
    </w:p>
    <w:p>
      <w:pPr>
        <w:spacing w:line="320" w:lineRule="exact"/>
        <w:ind w:firstLine="600" w:firstLineChars="200"/>
        <w:rPr>
          <w:rFonts w:ascii="仿宋_GB2312" w:eastAsia="仿宋_GB2312"/>
          <w:sz w:val="30"/>
          <w:szCs w:val="30"/>
        </w:rPr>
      </w:pPr>
      <w:r>
        <w:rPr>
          <w:rFonts w:hint="eastAsia" w:ascii="仿宋_GB2312" w:eastAsia="仿宋_GB2312"/>
          <w:sz w:val="30"/>
          <w:szCs w:val="30"/>
        </w:rPr>
        <w:drawing>
          <wp:anchor distT="0" distB="0" distL="114300" distR="114300" simplePos="0" relativeHeight="251666432" behindDoc="1" locked="0" layoutInCell="1" allowOverlap="1">
            <wp:simplePos x="0" y="0"/>
            <wp:positionH relativeFrom="column">
              <wp:posOffset>86360</wp:posOffset>
            </wp:positionH>
            <wp:positionV relativeFrom="paragraph">
              <wp:posOffset>150495</wp:posOffset>
            </wp:positionV>
            <wp:extent cx="5471795" cy="1152525"/>
            <wp:effectExtent l="0" t="0" r="0" b="0"/>
            <wp:wrapTight wrapText="bothSides">
              <wp:wrapPolygon>
                <wp:start x="2858" y="1071"/>
                <wp:lineTo x="526" y="3570"/>
                <wp:lineTo x="0" y="4284"/>
                <wp:lineTo x="0" y="13567"/>
                <wp:lineTo x="7294" y="18208"/>
                <wp:lineTo x="8648" y="18208"/>
                <wp:lineTo x="8723" y="21064"/>
                <wp:lineTo x="10754" y="21064"/>
                <wp:lineTo x="10829" y="18208"/>
                <wp:lineTo x="12182" y="18208"/>
                <wp:lineTo x="19176" y="13567"/>
                <wp:lineTo x="19176" y="12496"/>
                <wp:lineTo x="21282" y="9283"/>
                <wp:lineTo x="21357" y="6783"/>
                <wp:lineTo x="20078" y="6783"/>
                <wp:lineTo x="20229" y="4641"/>
                <wp:lineTo x="18650" y="3927"/>
                <wp:lineTo x="3986" y="1071"/>
                <wp:lineTo x="2858" y="1071"/>
              </wp:wrapPolygon>
            </wp:wrapTight>
            <wp:docPr id="2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3"/>
                    <pic:cNvPicPr>
                      <a:picLocks noChangeAspect="1"/>
                    </pic:cNvPicPr>
                  </pic:nvPicPr>
                  <pic:blipFill>
                    <a:blip r:embed="rId4"/>
                    <a:srcRect b="23524"/>
                    <a:stretch>
                      <a:fillRect/>
                    </a:stretch>
                  </pic:blipFill>
                  <pic:spPr>
                    <a:xfrm>
                      <a:off x="0" y="0"/>
                      <a:ext cx="5471795" cy="1152525"/>
                    </a:xfrm>
                    <a:prstGeom prst="rect">
                      <a:avLst/>
                    </a:prstGeom>
                    <a:noFill/>
                    <a:ln w="9525">
                      <a:noFill/>
                    </a:ln>
                  </pic:spPr>
                </pic:pic>
              </a:graphicData>
            </a:graphic>
          </wp:anchor>
        </w:drawing>
      </w:r>
    </w:p>
    <w:p>
      <w:pPr>
        <w:spacing w:line="320" w:lineRule="exact"/>
        <w:ind w:firstLine="600" w:firstLineChars="200"/>
        <w:rPr>
          <w:rFonts w:ascii="仿宋_GB2312" w:eastAsia="仿宋_GB2312"/>
          <w:sz w:val="30"/>
          <w:szCs w:val="30"/>
        </w:rPr>
      </w:pPr>
    </w:p>
    <w:p>
      <w:pPr>
        <w:spacing w:line="320" w:lineRule="exact"/>
        <w:ind w:firstLine="600" w:firstLineChars="200"/>
        <w:rPr>
          <w:rFonts w:ascii="仿宋_GB2312" w:eastAsia="仿宋_GB2312"/>
          <w:sz w:val="30"/>
          <w:szCs w:val="30"/>
        </w:rPr>
      </w:pPr>
    </w:p>
    <w:p>
      <w:pPr>
        <w:spacing w:line="320" w:lineRule="exact"/>
        <w:ind w:firstLine="600" w:firstLineChars="200"/>
        <w:rPr>
          <w:rFonts w:ascii="仿宋_GB2312" w:eastAsia="仿宋_GB2312"/>
          <w:sz w:val="30"/>
          <w:szCs w:val="30"/>
        </w:rPr>
      </w:pPr>
    </w:p>
    <w:p>
      <w:pPr>
        <w:spacing w:line="320" w:lineRule="exact"/>
        <w:ind w:firstLine="562" w:firstLineChars="200"/>
        <w:rPr>
          <w:rFonts w:ascii="仿宋_GB2312" w:eastAsia="仿宋_GB2312"/>
          <w:b/>
          <w:bCs/>
          <w:sz w:val="28"/>
          <w:szCs w:val="28"/>
        </w:rPr>
      </w:pPr>
      <w:r>
        <w:rPr>
          <w:rFonts w:hint="eastAsia" w:ascii="仿宋_GB2312" w:eastAsia="仿宋_GB2312"/>
          <w:b/>
          <w:bCs/>
          <w:sz w:val="28"/>
          <w:szCs w:val="28"/>
        </w:rPr>
        <w:t>图1 洛阳博华氧化钼焙烧高温烟气收尘项目传统工艺流程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传统工艺采用蛇形管表冷器将烟气温度由420℃冷却降温至200℃以下，再经布袋除尘器回收氧化钼粉尘。该工艺存在蛇形管表冷器控温粗放，易堵塞，检修频繁；布袋除尘器易烧袋，过滤精度不高等问题。</w:t>
      </w:r>
    </w:p>
    <w:p>
      <w:pPr>
        <w:spacing w:line="320" w:lineRule="exact"/>
        <w:rPr>
          <w:rFonts w:ascii="仿宋_GB2312" w:eastAsia="仿宋_GB2312"/>
          <w:sz w:val="30"/>
          <w:szCs w:val="30"/>
        </w:rPr>
      </w:pPr>
    </w:p>
    <w:p>
      <w:pPr>
        <w:spacing w:line="320" w:lineRule="exact"/>
        <w:rPr>
          <w:rFonts w:ascii="仿宋_GB2312" w:eastAsia="仿宋_GB2312"/>
          <w:sz w:val="30"/>
          <w:szCs w:val="30"/>
        </w:rPr>
      </w:pPr>
      <w:r>
        <w:rPr>
          <w:rFonts w:hint="eastAsia" w:ascii="仿宋_GB2312" w:eastAsia="仿宋_GB2312"/>
          <w:sz w:val="30"/>
          <w:szCs w:val="30"/>
        </w:rPr>
        <w:t>改进工艺：</w:t>
      </w:r>
    </w:p>
    <w:p>
      <w:pPr>
        <w:spacing w:line="320" w:lineRule="exact"/>
        <w:ind w:firstLine="600" w:firstLineChars="200"/>
        <w:rPr>
          <w:rFonts w:ascii="仿宋_GB2312" w:eastAsia="仿宋_GB2312"/>
          <w:sz w:val="30"/>
          <w:szCs w:val="30"/>
        </w:rPr>
      </w:pPr>
      <w:r>
        <w:rPr>
          <w:rFonts w:hint="eastAsia" w:ascii="仿宋_GB2312" w:eastAsia="仿宋_GB2312"/>
          <w:sz w:val="30"/>
          <w:szCs w:val="30"/>
        </w:rPr>
        <w:drawing>
          <wp:anchor distT="0" distB="0" distL="114300" distR="114300" simplePos="0" relativeHeight="251667456" behindDoc="1" locked="0" layoutInCell="1" allowOverlap="1">
            <wp:simplePos x="0" y="0"/>
            <wp:positionH relativeFrom="column">
              <wp:posOffset>47625</wp:posOffset>
            </wp:positionH>
            <wp:positionV relativeFrom="paragraph">
              <wp:posOffset>124460</wp:posOffset>
            </wp:positionV>
            <wp:extent cx="5105400" cy="1002030"/>
            <wp:effectExtent l="0" t="0" r="0" b="7620"/>
            <wp:wrapTight wrapText="bothSides">
              <wp:wrapPolygon>
                <wp:start x="3063" y="821"/>
                <wp:lineTo x="322" y="3285"/>
                <wp:lineTo x="0" y="4106"/>
                <wp:lineTo x="0" y="13551"/>
                <wp:lineTo x="242" y="13962"/>
                <wp:lineTo x="5400" y="13962"/>
                <wp:lineTo x="4675" y="16837"/>
                <wp:lineTo x="4755" y="20532"/>
                <wp:lineTo x="10558" y="21354"/>
                <wp:lineTo x="12493" y="21354"/>
                <wp:lineTo x="12654" y="20122"/>
                <wp:lineTo x="12170" y="15605"/>
                <wp:lineTo x="11928" y="13962"/>
                <wp:lineTo x="19182" y="13962"/>
                <wp:lineTo x="21519" y="12319"/>
                <wp:lineTo x="21519" y="4517"/>
                <wp:lineTo x="18860" y="3696"/>
                <wp:lineTo x="3949" y="821"/>
                <wp:lineTo x="3063" y="821"/>
              </wp:wrapPolygon>
            </wp:wrapTight>
            <wp:docPr id="2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4"/>
                    <pic:cNvPicPr>
                      <a:picLocks noChangeAspect="1"/>
                    </pic:cNvPicPr>
                  </pic:nvPicPr>
                  <pic:blipFill>
                    <a:blip r:embed="rId5"/>
                    <a:srcRect b="25673"/>
                    <a:stretch>
                      <a:fillRect/>
                    </a:stretch>
                  </pic:blipFill>
                  <pic:spPr>
                    <a:xfrm>
                      <a:off x="0" y="0"/>
                      <a:ext cx="5105400" cy="1002030"/>
                    </a:xfrm>
                    <a:prstGeom prst="rect">
                      <a:avLst/>
                    </a:prstGeom>
                    <a:noFill/>
                    <a:ln w="9525">
                      <a:noFill/>
                    </a:ln>
                  </pic:spPr>
                </pic:pic>
              </a:graphicData>
            </a:graphic>
          </wp:anchor>
        </w:drawing>
      </w:r>
    </w:p>
    <w:p>
      <w:pPr>
        <w:spacing w:line="320" w:lineRule="exact"/>
        <w:ind w:firstLine="600" w:firstLineChars="200"/>
        <w:rPr>
          <w:rFonts w:ascii="仿宋_GB2312" w:eastAsia="仿宋_GB2312"/>
          <w:sz w:val="30"/>
          <w:szCs w:val="30"/>
        </w:rPr>
      </w:pPr>
    </w:p>
    <w:p>
      <w:pPr>
        <w:spacing w:line="320" w:lineRule="exact"/>
        <w:ind w:firstLine="600" w:firstLineChars="200"/>
        <w:rPr>
          <w:rFonts w:ascii="仿宋_GB2312" w:eastAsia="仿宋_GB2312"/>
          <w:sz w:val="30"/>
          <w:szCs w:val="30"/>
        </w:rPr>
      </w:pPr>
    </w:p>
    <w:p>
      <w:pPr>
        <w:spacing w:line="360" w:lineRule="auto"/>
        <w:ind w:firstLine="1124" w:firstLineChars="400"/>
        <w:rPr>
          <w:rFonts w:ascii="仿宋_GB2312" w:eastAsia="仿宋_GB2312"/>
          <w:sz w:val="30"/>
          <w:szCs w:val="30"/>
        </w:rPr>
      </w:pPr>
      <w:r>
        <w:rPr>
          <w:rFonts w:hint="eastAsia" w:ascii="仿宋_GB2312" w:eastAsia="仿宋_GB2312"/>
          <w:b/>
          <w:bCs/>
          <w:sz w:val="28"/>
          <w:szCs w:val="28"/>
        </w:rPr>
        <w:t>图2 氧化钼焙烧高温烟气收尘项目工艺流程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新工艺取消蛇形管表冷器，从焙烧转炉炉头出来的420℃高温炉气直接进入高温金属间化合物膜过滤器进行高温高精度过滤，有效提高钼回收率，避免下游管道及脱硫系统因过量粉尘造成的堵塞，减少了设备维修的频次。</w:t>
      </w:r>
    </w:p>
    <w:p>
      <w:pPr>
        <w:numPr>
          <w:ilvl w:val="0"/>
          <w:numId w:val="1"/>
        </w:numPr>
        <w:spacing w:line="360" w:lineRule="auto"/>
        <w:ind w:firstLine="600" w:firstLineChars="200"/>
        <w:rPr>
          <w:rFonts w:ascii="仿宋_GB2312" w:eastAsia="仿宋_GB2312"/>
          <w:sz w:val="30"/>
          <w:szCs w:val="30"/>
        </w:rPr>
      </w:pPr>
      <w:r>
        <w:rPr>
          <w:rFonts w:hint="eastAsia" w:ascii="仿宋_GB2312" w:eastAsia="仿宋_GB2312"/>
          <w:sz w:val="30"/>
          <w:szCs w:val="30"/>
        </w:rPr>
        <w:t>关键工艺参数</w:t>
      </w:r>
    </w:p>
    <w:tbl>
      <w:tblPr>
        <w:tblStyle w:val="3"/>
        <w:tblpPr w:leftFromText="180" w:rightFromText="180" w:vertAnchor="text" w:horzAnchor="margin" w:tblpXSpec="center" w:tblpY="131"/>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60"/>
        <w:gridCol w:w="141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8756" w:type="dxa"/>
            <w:gridSpan w:val="4"/>
          </w:tcPr>
          <w:p>
            <w:pPr>
              <w:spacing w:line="320" w:lineRule="exact"/>
              <w:jc w:val="center"/>
              <w:rPr>
                <w:rFonts w:ascii="仿宋_GB2312" w:eastAsia="仿宋_GB2312"/>
                <w:sz w:val="28"/>
                <w:szCs w:val="28"/>
              </w:rPr>
            </w:pPr>
            <w:r>
              <w:rPr>
                <w:rFonts w:hint="eastAsia" w:ascii="仿宋_GB2312" w:eastAsia="仿宋_GB2312"/>
                <w:sz w:val="28"/>
                <w:szCs w:val="28"/>
              </w:rPr>
              <w:t>表1除尘器设备工艺参数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851" w:type="dxa"/>
          </w:tcPr>
          <w:p>
            <w:pPr>
              <w:spacing w:line="320" w:lineRule="exact"/>
              <w:rPr>
                <w:rFonts w:ascii="仿宋_GB2312" w:eastAsia="仿宋_GB2312"/>
                <w:sz w:val="28"/>
                <w:szCs w:val="28"/>
              </w:rPr>
            </w:pPr>
            <w:r>
              <w:rPr>
                <w:rFonts w:hint="eastAsia" w:ascii="仿宋_GB2312" w:eastAsia="仿宋_GB2312"/>
                <w:sz w:val="28"/>
                <w:szCs w:val="28"/>
              </w:rPr>
              <w:t>序号</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名称</w:t>
            </w:r>
          </w:p>
        </w:tc>
        <w:tc>
          <w:tcPr>
            <w:tcW w:w="1417" w:type="dxa"/>
          </w:tcPr>
          <w:p>
            <w:pPr>
              <w:spacing w:line="320" w:lineRule="exact"/>
              <w:rPr>
                <w:rFonts w:ascii="仿宋_GB2312" w:eastAsia="仿宋_GB2312"/>
                <w:sz w:val="28"/>
                <w:szCs w:val="28"/>
              </w:rPr>
            </w:pPr>
            <w:r>
              <w:rPr>
                <w:rFonts w:hint="eastAsia" w:ascii="仿宋_GB2312" w:eastAsia="仿宋_GB2312"/>
                <w:sz w:val="28"/>
                <w:szCs w:val="28"/>
              </w:rPr>
              <w:t>单位</w:t>
            </w:r>
          </w:p>
        </w:tc>
        <w:tc>
          <w:tcPr>
            <w:tcW w:w="3828" w:type="dxa"/>
          </w:tcPr>
          <w:p>
            <w:pPr>
              <w:spacing w:line="320" w:lineRule="exact"/>
              <w:rPr>
                <w:rFonts w:ascii="仿宋_GB2312" w:eastAsia="仿宋_GB2312"/>
                <w:sz w:val="28"/>
                <w:szCs w:val="28"/>
              </w:rPr>
            </w:pPr>
            <w:r>
              <w:rPr>
                <w:rFonts w:hint="eastAsia" w:ascii="仿宋_GB2312" w:eastAsia="仿宋_GB2312"/>
                <w:sz w:val="28"/>
                <w:szCs w:val="28"/>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851" w:type="dxa"/>
          </w:tcPr>
          <w:p>
            <w:pPr>
              <w:spacing w:line="320" w:lineRule="exact"/>
              <w:rPr>
                <w:rFonts w:ascii="仿宋_GB2312" w:eastAsia="仿宋_GB2312"/>
                <w:sz w:val="28"/>
                <w:szCs w:val="28"/>
              </w:rPr>
            </w:pPr>
            <w:r>
              <w:rPr>
                <w:rFonts w:hint="eastAsia" w:ascii="仿宋_GB2312" w:eastAsia="仿宋_GB2312"/>
                <w:sz w:val="28"/>
                <w:szCs w:val="28"/>
              </w:rPr>
              <w:t>1</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处理风量</w:t>
            </w:r>
          </w:p>
        </w:tc>
        <w:tc>
          <w:tcPr>
            <w:tcW w:w="1417" w:type="dxa"/>
          </w:tcPr>
          <w:p>
            <w:pPr>
              <w:spacing w:line="320" w:lineRule="exact"/>
              <w:rPr>
                <w:rFonts w:ascii="仿宋_GB2312" w:eastAsia="仿宋_GB2312"/>
                <w:sz w:val="28"/>
                <w:szCs w:val="28"/>
              </w:rPr>
            </w:pPr>
            <w:r>
              <w:rPr>
                <w:rFonts w:hint="eastAsia" w:ascii="仿宋_GB2312" w:eastAsia="仿宋_GB2312"/>
                <w:sz w:val="28"/>
                <w:szCs w:val="28"/>
              </w:rPr>
              <w:t>Nm3/h</w:t>
            </w:r>
          </w:p>
        </w:tc>
        <w:tc>
          <w:tcPr>
            <w:tcW w:w="3828" w:type="dxa"/>
          </w:tcPr>
          <w:p>
            <w:pPr>
              <w:spacing w:line="320" w:lineRule="exact"/>
              <w:rPr>
                <w:rFonts w:ascii="仿宋_GB2312" w:eastAsia="仿宋_GB2312"/>
                <w:sz w:val="28"/>
                <w:szCs w:val="28"/>
              </w:rPr>
            </w:pPr>
            <w:r>
              <w:rPr>
                <w:rFonts w:hint="eastAsia" w:ascii="仿宋_GB2312" w:eastAsia="仿宋_GB2312"/>
                <w:sz w:val="28"/>
                <w:szCs w:val="2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851" w:type="dxa"/>
          </w:tcPr>
          <w:p>
            <w:pPr>
              <w:spacing w:line="320" w:lineRule="exact"/>
              <w:rPr>
                <w:rFonts w:ascii="仿宋_GB2312" w:eastAsia="仿宋_GB2312"/>
                <w:sz w:val="28"/>
                <w:szCs w:val="28"/>
              </w:rPr>
            </w:pPr>
            <w:r>
              <w:rPr>
                <w:rFonts w:hint="eastAsia" w:ascii="仿宋_GB2312" w:eastAsia="仿宋_GB2312"/>
                <w:sz w:val="28"/>
                <w:szCs w:val="28"/>
              </w:rPr>
              <w:t>2</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入口煤粉量</w:t>
            </w:r>
          </w:p>
        </w:tc>
        <w:tc>
          <w:tcPr>
            <w:tcW w:w="1417" w:type="dxa"/>
          </w:tcPr>
          <w:p>
            <w:pPr>
              <w:spacing w:line="320" w:lineRule="exact"/>
              <w:rPr>
                <w:rFonts w:ascii="仿宋_GB2312" w:eastAsia="仿宋_GB2312"/>
                <w:sz w:val="28"/>
                <w:szCs w:val="28"/>
              </w:rPr>
            </w:pPr>
            <w:r>
              <w:rPr>
                <w:rFonts w:hint="eastAsia" w:ascii="仿宋_GB2312" w:eastAsia="仿宋_GB2312"/>
                <w:sz w:val="28"/>
                <w:szCs w:val="28"/>
              </w:rPr>
              <w:t>g/Nm3</w:t>
            </w:r>
          </w:p>
        </w:tc>
        <w:tc>
          <w:tcPr>
            <w:tcW w:w="3828" w:type="dxa"/>
          </w:tcPr>
          <w:p>
            <w:pPr>
              <w:spacing w:line="320" w:lineRule="exact"/>
              <w:rPr>
                <w:rFonts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851" w:type="dxa"/>
          </w:tcPr>
          <w:p>
            <w:pPr>
              <w:spacing w:line="320" w:lineRule="exact"/>
              <w:rPr>
                <w:rFonts w:ascii="仿宋_GB2312" w:eastAsia="仿宋_GB2312"/>
                <w:sz w:val="28"/>
                <w:szCs w:val="28"/>
              </w:rPr>
            </w:pPr>
            <w:r>
              <w:rPr>
                <w:rFonts w:hint="eastAsia" w:ascii="仿宋_GB2312" w:eastAsia="仿宋_GB2312"/>
                <w:sz w:val="28"/>
                <w:szCs w:val="28"/>
              </w:rPr>
              <w:t>3</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介质</w:t>
            </w:r>
          </w:p>
        </w:tc>
        <w:tc>
          <w:tcPr>
            <w:tcW w:w="1417" w:type="dxa"/>
          </w:tcPr>
          <w:p>
            <w:pPr>
              <w:spacing w:line="320" w:lineRule="exact"/>
              <w:rPr>
                <w:rFonts w:ascii="仿宋_GB2312" w:eastAsia="仿宋_GB2312"/>
                <w:sz w:val="28"/>
                <w:szCs w:val="28"/>
              </w:rPr>
            </w:pPr>
            <w:r>
              <w:rPr>
                <w:rFonts w:hint="eastAsia" w:ascii="仿宋_GB2312" w:eastAsia="仿宋_GB2312"/>
                <w:sz w:val="28"/>
                <w:szCs w:val="28"/>
              </w:rPr>
              <w:t>-</w:t>
            </w:r>
          </w:p>
        </w:tc>
        <w:tc>
          <w:tcPr>
            <w:tcW w:w="3828" w:type="dxa"/>
          </w:tcPr>
          <w:p>
            <w:pPr>
              <w:spacing w:line="320" w:lineRule="exact"/>
              <w:rPr>
                <w:rFonts w:ascii="仿宋_GB2312" w:eastAsia="仿宋_GB2312"/>
                <w:sz w:val="28"/>
                <w:szCs w:val="28"/>
              </w:rPr>
            </w:pPr>
            <w:r>
              <w:rPr>
                <w:rFonts w:hint="eastAsia" w:ascii="仿宋_GB2312" w:eastAsia="仿宋_GB2312"/>
                <w:sz w:val="28"/>
                <w:szCs w:val="28"/>
              </w:rPr>
              <w:t>氧化钼焙烧烟气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851" w:type="dxa"/>
          </w:tcPr>
          <w:p>
            <w:pPr>
              <w:spacing w:line="320" w:lineRule="exact"/>
              <w:rPr>
                <w:rFonts w:ascii="仿宋_GB2312" w:eastAsia="仿宋_GB2312"/>
                <w:sz w:val="28"/>
                <w:szCs w:val="28"/>
              </w:rPr>
            </w:pPr>
            <w:r>
              <w:rPr>
                <w:rFonts w:hint="eastAsia" w:ascii="仿宋_GB2312" w:eastAsia="仿宋_GB2312"/>
                <w:sz w:val="28"/>
                <w:szCs w:val="28"/>
              </w:rPr>
              <w:t>4</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进气温度</w:t>
            </w:r>
          </w:p>
        </w:tc>
        <w:tc>
          <w:tcPr>
            <w:tcW w:w="1417" w:type="dxa"/>
          </w:tcPr>
          <w:p>
            <w:pPr>
              <w:spacing w:line="320" w:lineRule="exact"/>
              <w:rPr>
                <w:rFonts w:ascii="仿宋_GB2312" w:eastAsia="仿宋_GB2312"/>
                <w:sz w:val="28"/>
                <w:szCs w:val="28"/>
              </w:rPr>
            </w:pPr>
            <w:r>
              <w:rPr>
                <w:rFonts w:hint="eastAsia" w:ascii="仿宋_GB2312" w:eastAsia="仿宋_GB2312"/>
                <w:sz w:val="28"/>
                <w:szCs w:val="28"/>
              </w:rPr>
              <w:t>℃</w:t>
            </w:r>
          </w:p>
        </w:tc>
        <w:tc>
          <w:tcPr>
            <w:tcW w:w="3828" w:type="dxa"/>
          </w:tcPr>
          <w:p>
            <w:pPr>
              <w:spacing w:line="320" w:lineRule="exact"/>
              <w:rPr>
                <w:rFonts w:ascii="仿宋_GB2312" w:eastAsia="仿宋_GB2312"/>
                <w:sz w:val="28"/>
                <w:szCs w:val="28"/>
              </w:rPr>
            </w:pPr>
            <w:r>
              <w:rPr>
                <w:rFonts w:hint="eastAsia" w:ascii="仿宋_GB2312" w:eastAsia="仿宋_GB2312"/>
                <w:sz w:val="28"/>
                <w:szCs w:val="28"/>
              </w:rPr>
              <w:t>380-420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320" w:lineRule="exact"/>
              <w:rPr>
                <w:rFonts w:ascii="仿宋_GB2312" w:eastAsia="仿宋_GB2312"/>
                <w:sz w:val="28"/>
                <w:szCs w:val="28"/>
              </w:rPr>
            </w:pPr>
            <w:r>
              <w:rPr>
                <w:rFonts w:hint="eastAsia" w:ascii="仿宋_GB2312" w:eastAsia="仿宋_GB2312"/>
                <w:sz w:val="28"/>
                <w:szCs w:val="28"/>
              </w:rPr>
              <w:t>5</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露点温度</w:t>
            </w:r>
          </w:p>
        </w:tc>
        <w:tc>
          <w:tcPr>
            <w:tcW w:w="1417" w:type="dxa"/>
            <w:vAlign w:val="center"/>
          </w:tcPr>
          <w:p>
            <w:pPr>
              <w:spacing w:line="320" w:lineRule="exact"/>
              <w:rPr>
                <w:rFonts w:ascii="仿宋_GB2312" w:eastAsia="仿宋_GB2312"/>
                <w:sz w:val="28"/>
                <w:szCs w:val="28"/>
              </w:rPr>
            </w:pPr>
            <w:r>
              <w:rPr>
                <w:rFonts w:hint="eastAsia" w:ascii="仿宋_GB2312" w:eastAsia="仿宋_GB2312"/>
                <w:sz w:val="28"/>
                <w:szCs w:val="28"/>
              </w:rPr>
              <w:t>℃</w:t>
            </w:r>
          </w:p>
        </w:tc>
        <w:tc>
          <w:tcPr>
            <w:tcW w:w="3828" w:type="dxa"/>
            <w:vAlign w:val="center"/>
          </w:tcPr>
          <w:p>
            <w:pPr>
              <w:spacing w:line="320" w:lineRule="exact"/>
              <w:rPr>
                <w:rFonts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320" w:lineRule="exact"/>
              <w:rPr>
                <w:rFonts w:ascii="仿宋_GB2312" w:eastAsia="仿宋_GB2312"/>
                <w:sz w:val="28"/>
                <w:szCs w:val="28"/>
              </w:rPr>
            </w:pPr>
            <w:r>
              <w:rPr>
                <w:rFonts w:hint="eastAsia" w:ascii="仿宋_GB2312" w:eastAsia="仿宋_GB2312"/>
                <w:sz w:val="28"/>
                <w:szCs w:val="28"/>
              </w:rPr>
              <w:t>6</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出口含尘浓度</w:t>
            </w:r>
          </w:p>
        </w:tc>
        <w:tc>
          <w:tcPr>
            <w:tcW w:w="1417" w:type="dxa"/>
            <w:vAlign w:val="center"/>
          </w:tcPr>
          <w:p>
            <w:pPr>
              <w:spacing w:line="320" w:lineRule="exact"/>
              <w:rPr>
                <w:rFonts w:ascii="仿宋_GB2312" w:eastAsia="仿宋_GB2312"/>
                <w:sz w:val="28"/>
                <w:szCs w:val="28"/>
              </w:rPr>
            </w:pPr>
            <w:r>
              <w:rPr>
                <w:rFonts w:hint="eastAsia" w:ascii="仿宋_GB2312" w:eastAsia="仿宋_GB2312"/>
                <w:sz w:val="28"/>
                <w:szCs w:val="28"/>
              </w:rPr>
              <w:t>mg/m3</w:t>
            </w:r>
          </w:p>
        </w:tc>
        <w:tc>
          <w:tcPr>
            <w:tcW w:w="3828" w:type="dxa"/>
            <w:vAlign w:val="center"/>
          </w:tcPr>
          <w:p>
            <w:pPr>
              <w:spacing w:line="320" w:lineRule="exact"/>
              <w:rPr>
                <w:rFonts w:ascii="仿宋_GB2312" w:eastAsia="仿宋_GB2312"/>
                <w:sz w:val="28"/>
                <w:szCs w:val="28"/>
              </w:rPr>
            </w:pPr>
            <w:r>
              <w:rPr>
                <w:rFonts w:hint="eastAsia" w:ascii="仿宋_GB2312"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320" w:lineRule="exact"/>
              <w:rPr>
                <w:rFonts w:ascii="仿宋_GB2312" w:eastAsia="仿宋_GB2312"/>
                <w:sz w:val="28"/>
                <w:szCs w:val="28"/>
              </w:rPr>
            </w:pPr>
            <w:r>
              <w:rPr>
                <w:rFonts w:hint="eastAsia" w:ascii="仿宋_GB2312" w:eastAsia="仿宋_GB2312"/>
                <w:sz w:val="28"/>
                <w:szCs w:val="28"/>
              </w:rPr>
              <w:t>7</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设备设计温度</w:t>
            </w:r>
          </w:p>
        </w:tc>
        <w:tc>
          <w:tcPr>
            <w:tcW w:w="1417" w:type="dxa"/>
            <w:vAlign w:val="center"/>
          </w:tcPr>
          <w:p>
            <w:pPr>
              <w:spacing w:line="320" w:lineRule="exact"/>
              <w:rPr>
                <w:rFonts w:ascii="仿宋_GB2312" w:eastAsia="仿宋_GB2312"/>
                <w:sz w:val="28"/>
                <w:szCs w:val="28"/>
              </w:rPr>
            </w:pPr>
            <w:r>
              <w:rPr>
                <w:rFonts w:hint="eastAsia" w:ascii="仿宋_GB2312" w:eastAsia="仿宋_GB2312"/>
                <w:sz w:val="28"/>
                <w:szCs w:val="28"/>
              </w:rPr>
              <w:t>℃</w:t>
            </w:r>
          </w:p>
        </w:tc>
        <w:tc>
          <w:tcPr>
            <w:tcW w:w="3828" w:type="dxa"/>
            <w:vAlign w:val="center"/>
          </w:tcPr>
          <w:p>
            <w:pPr>
              <w:spacing w:line="320" w:lineRule="exact"/>
              <w:rPr>
                <w:rFonts w:ascii="仿宋_GB2312" w:eastAsia="仿宋_GB2312"/>
                <w:sz w:val="28"/>
                <w:szCs w:val="28"/>
              </w:rPr>
            </w:pPr>
            <w:r>
              <w:rPr>
                <w:rFonts w:hint="eastAsia" w:ascii="仿宋_GB2312" w:eastAsia="仿宋_GB2312"/>
                <w:sz w:val="28"/>
                <w:szCs w:val="2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320" w:lineRule="exact"/>
              <w:rPr>
                <w:rFonts w:ascii="仿宋_GB2312" w:eastAsia="仿宋_GB2312"/>
                <w:sz w:val="28"/>
                <w:szCs w:val="28"/>
              </w:rPr>
            </w:pPr>
            <w:r>
              <w:rPr>
                <w:rFonts w:hint="eastAsia" w:ascii="仿宋_GB2312" w:eastAsia="仿宋_GB2312"/>
                <w:sz w:val="28"/>
                <w:szCs w:val="28"/>
              </w:rPr>
              <w:t>8</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设备操作压力</w:t>
            </w:r>
          </w:p>
        </w:tc>
        <w:tc>
          <w:tcPr>
            <w:tcW w:w="1417" w:type="dxa"/>
            <w:vAlign w:val="center"/>
          </w:tcPr>
          <w:p>
            <w:pPr>
              <w:spacing w:line="320" w:lineRule="exact"/>
              <w:rPr>
                <w:rFonts w:ascii="仿宋_GB2312" w:eastAsia="仿宋_GB2312"/>
                <w:sz w:val="28"/>
                <w:szCs w:val="28"/>
              </w:rPr>
            </w:pPr>
            <w:r>
              <w:rPr>
                <w:rFonts w:hint="eastAsia" w:ascii="仿宋_GB2312" w:eastAsia="仿宋_GB2312"/>
                <w:sz w:val="28"/>
                <w:szCs w:val="28"/>
              </w:rPr>
              <w:t>kPa</w:t>
            </w:r>
          </w:p>
        </w:tc>
        <w:tc>
          <w:tcPr>
            <w:tcW w:w="3828" w:type="dxa"/>
            <w:vAlign w:val="center"/>
          </w:tcPr>
          <w:p>
            <w:pPr>
              <w:spacing w:line="320" w:lineRule="exact"/>
              <w:rPr>
                <w:rFonts w:ascii="仿宋_GB2312" w:eastAsia="仿宋_GB2312"/>
                <w:sz w:val="28"/>
                <w:szCs w:val="28"/>
              </w:rPr>
            </w:pPr>
            <w:r>
              <w:rPr>
                <w:rFonts w:hint="eastAsia" w:ascii="仿宋_GB2312" w:eastAsia="仿宋_GB2312"/>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320" w:lineRule="exact"/>
              <w:rPr>
                <w:rFonts w:ascii="仿宋_GB2312" w:eastAsia="仿宋_GB2312"/>
                <w:sz w:val="28"/>
                <w:szCs w:val="28"/>
              </w:rPr>
            </w:pPr>
            <w:r>
              <w:rPr>
                <w:rFonts w:hint="eastAsia" w:ascii="仿宋_GB2312" w:eastAsia="仿宋_GB2312"/>
                <w:sz w:val="28"/>
                <w:szCs w:val="28"/>
              </w:rPr>
              <w:t>9</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设备设计压力</w:t>
            </w:r>
          </w:p>
        </w:tc>
        <w:tc>
          <w:tcPr>
            <w:tcW w:w="1417" w:type="dxa"/>
            <w:vAlign w:val="center"/>
          </w:tcPr>
          <w:p>
            <w:pPr>
              <w:spacing w:line="320" w:lineRule="exact"/>
              <w:rPr>
                <w:rFonts w:ascii="仿宋_GB2312" w:eastAsia="仿宋_GB2312"/>
                <w:sz w:val="28"/>
                <w:szCs w:val="28"/>
              </w:rPr>
            </w:pPr>
            <w:r>
              <w:rPr>
                <w:rFonts w:hint="eastAsia" w:ascii="仿宋_GB2312" w:eastAsia="仿宋_GB2312"/>
                <w:sz w:val="28"/>
                <w:szCs w:val="28"/>
              </w:rPr>
              <w:t>kPa</w:t>
            </w:r>
          </w:p>
        </w:tc>
        <w:tc>
          <w:tcPr>
            <w:tcW w:w="3828" w:type="dxa"/>
            <w:vAlign w:val="center"/>
          </w:tcPr>
          <w:p>
            <w:pPr>
              <w:spacing w:line="320" w:lineRule="exact"/>
              <w:rPr>
                <w:rFonts w:ascii="仿宋_GB2312" w:eastAsia="仿宋_GB2312"/>
                <w:sz w:val="28"/>
                <w:szCs w:val="28"/>
              </w:rPr>
            </w:pPr>
            <w:r>
              <w:rPr>
                <w:rFonts w:hint="eastAsia" w:ascii="仿宋_GB2312" w:eastAsia="仿宋_GB2312"/>
                <w:sz w:val="28"/>
                <w:szCs w:val="28"/>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320" w:lineRule="exact"/>
              <w:rPr>
                <w:rFonts w:ascii="仿宋_GB2312" w:eastAsia="仿宋_GB2312"/>
                <w:sz w:val="28"/>
                <w:szCs w:val="28"/>
              </w:rPr>
            </w:pPr>
            <w:r>
              <w:rPr>
                <w:rFonts w:hint="eastAsia" w:ascii="仿宋_GB2312" w:eastAsia="仿宋_GB2312"/>
                <w:sz w:val="28"/>
                <w:szCs w:val="28"/>
              </w:rPr>
              <w:t>10</w:t>
            </w:r>
          </w:p>
        </w:tc>
        <w:tc>
          <w:tcPr>
            <w:tcW w:w="2660" w:type="dxa"/>
          </w:tcPr>
          <w:p>
            <w:pPr>
              <w:spacing w:line="320" w:lineRule="exact"/>
              <w:rPr>
                <w:rFonts w:ascii="仿宋_GB2312" w:eastAsia="仿宋_GB2312"/>
                <w:sz w:val="28"/>
                <w:szCs w:val="28"/>
              </w:rPr>
            </w:pPr>
            <w:r>
              <w:rPr>
                <w:rFonts w:hint="eastAsia" w:ascii="仿宋_GB2312" w:eastAsia="仿宋_GB2312"/>
                <w:sz w:val="28"/>
                <w:szCs w:val="28"/>
              </w:rPr>
              <w:t>设备运行阻力</w:t>
            </w:r>
          </w:p>
        </w:tc>
        <w:tc>
          <w:tcPr>
            <w:tcW w:w="1417" w:type="dxa"/>
            <w:vAlign w:val="center"/>
          </w:tcPr>
          <w:p>
            <w:pPr>
              <w:spacing w:line="320" w:lineRule="exact"/>
              <w:rPr>
                <w:rFonts w:ascii="仿宋_GB2312" w:eastAsia="仿宋_GB2312"/>
                <w:sz w:val="28"/>
                <w:szCs w:val="28"/>
              </w:rPr>
            </w:pPr>
            <w:r>
              <w:rPr>
                <w:rFonts w:hint="eastAsia" w:ascii="仿宋_GB2312" w:eastAsia="仿宋_GB2312"/>
                <w:sz w:val="28"/>
                <w:szCs w:val="28"/>
              </w:rPr>
              <w:t>Pa</w:t>
            </w:r>
          </w:p>
        </w:tc>
        <w:tc>
          <w:tcPr>
            <w:tcW w:w="3828" w:type="dxa"/>
            <w:vAlign w:val="center"/>
          </w:tcPr>
          <w:p>
            <w:pPr>
              <w:spacing w:line="320" w:lineRule="exact"/>
              <w:rPr>
                <w:rFonts w:ascii="仿宋_GB2312" w:eastAsia="仿宋_GB2312"/>
                <w:sz w:val="28"/>
                <w:szCs w:val="28"/>
              </w:rPr>
            </w:pPr>
            <w:r>
              <w:rPr>
                <w:rFonts w:hint="eastAsia" w:ascii="仿宋_GB2312" w:eastAsia="仿宋_GB2312"/>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6" w:type="dxa"/>
            <w:gridSpan w:val="4"/>
          </w:tcPr>
          <w:p>
            <w:pPr>
              <w:spacing w:line="320" w:lineRule="exact"/>
              <w:rPr>
                <w:rFonts w:ascii="仿宋_GB2312" w:eastAsia="仿宋_GB2312"/>
                <w:sz w:val="28"/>
                <w:szCs w:val="28"/>
              </w:rPr>
            </w:pPr>
            <w:r>
              <w:rPr>
                <w:rFonts w:hint="eastAsia" w:ascii="仿宋_GB2312" w:eastAsia="仿宋_GB2312"/>
                <w:sz w:val="28"/>
                <w:szCs w:val="28"/>
              </w:rPr>
              <w:t>烟气成分：三氧化钼、氧铼化物、H</w:t>
            </w:r>
            <w:r>
              <w:rPr>
                <w:rFonts w:hint="eastAsia" w:ascii="仿宋_GB2312" w:eastAsia="仿宋_GB2312"/>
                <w:sz w:val="28"/>
                <w:szCs w:val="28"/>
                <w:vertAlign w:val="subscript"/>
              </w:rPr>
              <w:t>2</w:t>
            </w:r>
            <w:r>
              <w:rPr>
                <w:rFonts w:hint="eastAsia" w:ascii="仿宋_GB2312" w:eastAsia="仿宋_GB2312"/>
                <w:sz w:val="28"/>
                <w:szCs w:val="28"/>
              </w:rPr>
              <w:t>O、SO</w:t>
            </w:r>
            <w:r>
              <w:rPr>
                <w:rFonts w:hint="eastAsia" w:ascii="仿宋_GB2312" w:eastAsia="仿宋_GB2312"/>
                <w:sz w:val="28"/>
                <w:szCs w:val="28"/>
                <w:vertAlign w:val="subscript"/>
              </w:rPr>
              <w:t>2</w:t>
            </w:r>
            <w:r>
              <w:rPr>
                <w:rFonts w:hint="eastAsia" w:ascii="仿宋_GB2312" w:eastAsia="仿宋_GB2312"/>
                <w:sz w:val="28"/>
                <w:szCs w:val="28"/>
              </w:rPr>
              <w:t xml:space="preserve"> 等</w:t>
            </w:r>
          </w:p>
        </w:tc>
      </w:tr>
    </w:tbl>
    <w:p>
      <w:pPr>
        <w:spacing w:line="320" w:lineRule="exact"/>
        <w:rPr>
          <w:rFonts w:ascii="仿宋_GB2312" w:eastAsia="仿宋_GB2312"/>
          <w:sz w:val="30"/>
          <w:szCs w:val="30"/>
        </w:rPr>
      </w:pPr>
    </w:p>
    <w:p>
      <w:pPr>
        <w:spacing w:line="320" w:lineRule="exact"/>
        <w:ind w:firstLine="600" w:firstLineChars="200"/>
        <w:rPr>
          <w:rFonts w:ascii="仿宋_GB2312" w:eastAsia="仿宋_GB2312"/>
          <w:sz w:val="30"/>
          <w:szCs w:val="30"/>
        </w:rPr>
      </w:pPr>
      <w:r>
        <w:rPr>
          <w:rFonts w:hint="eastAsia" w:ascii="仿宋_GB2312" w:eastAsia="仿宋_GB2312"/>
          <w:sz w:val="30"/>
          <w:szCs w:val="30"/>
        </w:rPr>
        <w:t>（二）关键技术或设计特征</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项目采用的金属间化合物多孔膜材料这一新型材料，其具有耐高温、耐热震、除尘精度高、气通量大、耐磨、耐腐蚀等特性，其操作温度范围大，可以适应钼矿冶炼和焙烧粗放的生产条件下长时间连续稳定运行，在有效提高钼回收率的同时通过物质气化点差异回收了有价金属铼。</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通过高温气体温度控制技术、高温气体压力协同控制技术、高温粉尘安全输送技术、高温气体安全监测与控制应用技术，形成了一套高效自动控制系统，可以对高温煤气净化系统的运行工艺参数进行监控和调节，对出现特殊工况进行报警并采取相应的安全防爆自动控制措施，对系统的所有运行参数进行记录和自动存储等，并对各系统功能的实现进行有机的联系与控制。</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●采用了高温反吹技术、防架桥技术、滤饼层控制技术、过滤粉尘氧化防控技术，实现了膜污染的有效防治。</w:t>
      </w:r>
    </w:p>
    <w:p>
      <w:pPr>
        <w:spacing w:beforeLines="50" w:afterLines="50" w:line="320" w:lineRule="exact"/>
        <w:ind w:firstLine="602" w:firstLineChars="200"/>
        <w:rPr>
          <w:rFonts w:ascii="仿宋_GB2312" w:eastAsia="仿宋_GB2312"/>
          <w:b/>
          <w:sz w:val="30"/>
          <w:szCs w:val="30"/>
        </w:rPr>
      </w:pPr>
      <w:r>
        <w:rPr>
          <w:rFonts w:hint="eastAsia" w:ascii="仿宋_GB2312" w:eastAsia="仿宋_GB2312"/>
          <w:b/>
          <w:sz w:val="30"/>
          <w:szCs w:val="30"/>
        </w:rPr>
        <w:t>四、技术指标</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根据</w:t>
      </w:r>
      <w:r>
        <w:rPr>
          <w:rFonts w:hint="eastAsia" w:ascii="仿宋_GB2312" w:eastAsia="仿宋_GB2312"/>
          <w:sz w:val="28"/>
          <w:szCs w:val="28"/>
          <w:lang w:eastAsia="zh-CN"/>
        </w:rPr>
        <w:t>客户</w:t>
      </w:r>
      <w:r>
        <w:rPr>
          <w:rFonts w:hint="eastAsia" w:ascii="仿宋_GB2312" w:eastAsia="仿宋_GB2312"/>
          <w:sz w:val="28"/>
          <w:szCs w:val="28"/>
        </w:rPr>
        <w:t>出具的验收报告，项目建设、试车、连续运行168小时试运行及6个月系统长时间稳定运行，满足双方签订合同要求。根据《</w:t>
      </w:r>
      <w:bookmarkStart w:id="0" w:name="_GoBack"/>
      <w:bookmarkEnd w:id="0"/>
      <w:r>
        <w:rPr>
          <w:rFonts w:hint="eastAsia" w:ascii="仿宋_GB2312" w:eastAsia="仿宋_GB2312"/>
          <w:sz w:val="28"/>
          <w:szCs w:val="28"/>
        </w:rPr>
        <w:t>YT过滤精度检测记录表》，净化后的烟气含尘量稳定低于10mg/Nm</w:t>
      </w:r>
      <w:r>
        <w:rPr>
          <w:rFonts w:hint="eastAsia" w:ascii="仿宋_GB2312" w:eastAsia="仿宋_GB2312"/>
          <w:sz w:val="28"/>
          <w:szCs w:val="28"/>
          <w:vertAlign w:val="superscript"/>
        </w:rPr>
        <w:t>3</w:t>
      </w:r>
      <w:r>
        <w:rPr>
          <w:rFonts w:hint="eastAsia" w:ascii="仿宋_GB2312" w:eastAsia="仿宋_GB2312"/>
          <w:sz w:val="28"/>
          <w:szCs w:val="28"/>
        </w:rPr>
        <w:t>。经过YT膜除尘后，烟气洁净，避免了下游管线及脱硫系统因过量粉尘造成堵塞，保证后续工段能够长周期稳定运行。连续稳定运行有效降低了检修维护成本，每年减少检修停产次数。通过使用金属间化合物多孔膜对钼矿烟气收尘净化，钼回收率提升0.5%。每条生产线每年可增创经济效益近200万元，为客户创造显著的经济价值与环保效益。</w:t>
      </w:r>
    </w:p>
    <w:p>
      <w:pPr>
        <w:spacing w:beforeLines="50" w:afterLines="50" w:line="320" w:lineRule="exact"/>
        <w:ind w:firstLine="602" w:firstLineChars="200"/>
        <w:rPr>
          <w:rFonts w:ascii="仿宋_GB2312" w:eastAsia="仿宋_GB2312"/>
          <w:b/>
          <w:sz w:val="30"/>
          <w:szCs w:val="30"/>
        </w:rPr>
      </w:pPr>
      <w:r>
        <w:rPr>
          <w:rFonts w:hint="eastAsia" w:ascii="仿宋_GB2312" w:eastAsia="仿宋_GB2312"/>
          <w:b/>
          <w:sz w:val="30"/>
          <w:szCs w:val="30"/>
        </w:rPr>
        <w:t>五、投资费用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项目一次性总投资构成如下：</w:t>
      </w:r>
    </w:p>
    <w:tbl>
      <w:tblPr>
        <w:tblStyle w:val="3"/>
        <w:tblW w:w="8522" w:type="dxa"/>
        <w:tblInd w:w="0" w:type="dxa"/>
        <w:tblLayout w:type="fixed"/>
        <w:tblCellMar>
          <w:top w:w="0" w:type="dxa"/>
          <w:left w:w="108" w:type="dxa"/>
          <w:bottom w:w="0" w:type="dxa"/>
          <w:right w:w="108" w:type="dxa"/>
        </w:tblCellMar>
      </w:tblPr>
      <w:tblGrid>
        <w:gridCol w:w="790"/>
        <w:gridCol w:w="3009"/>
        <w:gridCol w:w="2269"/>
        <w:gridCol w:w="2454"/>
      </w:tblGrid>
      <w:tr>
        <w:tblPrEx>
          <w:tblLayout w:type="fixed"/>
          <w:tblCellMar>
            <w:top w:w="0" w:type="dxa"/>
            <w:left w:w="108" w:type="dxa"/>
            <w:bottom w:w="0" w:type="dxa"/>
            <w:right w:w="108" w:type="dxa"/>
          </w:tblCellMar>
        </w:tblPrEx>
        <w:trPr>
          <w:trHeight w:val="794" w:hRule="atLeast"/>
        </w:trPr>
        <w:tc>
          <w:tcPr>
            <w:tcW w:w="8522" w:type="dxa"/>
            <w:gridSpan w:val="4"/>
            <w:tcBorders>
              <w:top w:val="nil"/>
              <w:left w:val="nil"/>
              <w:bottom w:val="nil"/>
              <w:right w:val="nil"/>
            </w:tcBorders>
            <w:vAlign w:val="center"/>
          </w:tcPr>
          <w:p>
            <w:pPr>
              <w:spacing w:line="360" w:lineRule="auto"/>
              <w:ind w:firstLine="480" w:firstLineChars="200"/>
              <w:jc w:val="center"/>
              <w:rPr>
                <w:rFonts w:ascii="仿宋_GB2312" w:eastAsia="仿宋_GB2312"/>
                <w:sz w:val="24"/>
              </w:rPr>
            </w:pPr>
            <w:r>
              <w:rPr>
                <w:rFonts w:hint="eastAsia" w:ascii="仿宋_GB2312" w:eastAsia="仿宋_GB2312"/>
                <w:sz w:val="24"/>
              </w:rPr>
              <w:t>表2 项目一次性总投资清单</w:t>
            </w:r>
          </w:p>
        </w:tc>
      </w:tr>
      <w:tr>
        <w:tblPrEx>
          <w:tblLayout w:type="fixed"/>
          <w:tblCellMar>
            <w:top w:w="0" w:type="dxa"/>
            <w:left w:w="108" w:type="dxa"/>
            <w:bottom w:w="0" w:type="dxa"/>
            <w:right w:w="108" w:type="dxa"/>
          </w:tblCellMar>
        </w:tblPrEx>
        <w:trPr>
          <w:trHeight w:val="499" w:hRule="atLeast"/>
        </w:trPr>
        <w:tc>
          <w:tcPr>
            <w:tcW w:w="7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序号</w:t>
            </w:r>
          </w:p>
        </w:tc>
        <w:tc>
          <w:tcPr>
            <w:tcW w:w="300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项目</w:t>
            </w:r>
          </w:p>
        </w:tc>
        <w:tc>
          <w:tcPr>
            <w:tcW w:w="226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金额（万元）</w:t>
            </w:r>
          </w:p>
        </w:tc>
        <w:tc>
          <w:tcPr>
            <w:tcW w:w="245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备注</w:t>
            </w:r>
          </w:p>
        </w:tc>
      </w:tr>
      <w:tr>
        <w:tblPrEx>
          <w:tblLayout w:type="fixed"/>
          <w:tblCellMar>
            <w:top w:w="0" w:type="dxa"/>
            <w:left w:w="108" w:type="dxa"/>
            <w:bottom w:w="0" w:type="dxa"/>
            <w:right w:w="108" w:type="dxa"/>
          </w:tblCellMar>
        </w:tblPrEx>
        <w:trPr>
          <w:trHeight w:val="499" w:hRule="atLeast"/>
        </w:trPr>
        <w:tc>
          <w:tcPr>
            <w:tcW w:w="790" w:type="dxa"/>
            <w:tcBorders>
              <w:top w:val="nil"/>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3009" w:type="dxa"/>
            <w:tcBorders>
              <w:top w:val="nil"/>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设备制造费</w:t>
            </w:r>
          </w:p>
        </w:tc>
        <w:tc>
          <w:tcPr>
            <w:tcW w:w="2269" w:type="dxa"/>
            <w:tcBorders>
              <w:top w:val="nil"/>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70</w:t>
            </w:r>
          </w:p>
        </w:tc>
        <w:tc>
          <w:tcPr>
            <w:tcW w:w="2454"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仿宋_GB2312" w:eastAsia="仿宋_GB2312"/>
                <w:sz w:val="24"/>
              </w:rPr>
            </w:pPr>
          </w:p>
        </w:tc>
      </w:tr>
      <w:tr>
        <w:tblPrEx>
          <w:tblLayout w:type="fixed"/>
          <w:tblCellMar>
            <w:top w:w="0" w:type="dxa"/>
            <w:left w:w="108" w:type="dxa"/>
            <w:bottom w:w="0" w:type="dxa"/>
            <w:right w:w="108" w:type="dxa"/>
          </w:tblCellMar>
        </w:tblPrEx>
        <w:trPr>
          <w:trHeight w:val="499" w:hRule="atLeast"/>
        </w:trPr>
        <w:tc>
          <w:tcPr>
            <w:tcW w:w="790" w:type="dxa"/>
            <w:tcBorders>
              <w:top w:val="nil"/>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2</w:t>
            </w:r>
          </w:p>
        </w:tc>
        <w:tc>
          <w:tcPr>
            <w:tcW w:w="3009" w:type="dxa"/>
            <w:tcBorders>
              <w:top w:val="nil"/>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土建（钢构）费用</w:t>
            </w:r>
          </w:p>
        </w:tc>
        <w:tc>
          <w:tcPr>
            <w:tcW w:w="2269" w:type="dxa"/>
            <w:tcBorders>
              <w:top w:val="nil"/>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4</w:t>
            </w:r>
          </w:p>
        </w:tc>
        <w:tc>
          <w:tcPr>
            <w:tcW w:w="2454"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仿宋_GB2312" w:eastAsia="仿宋_GB2312"/>
                <w:sz w:val="24"/>
              </w:rPr>
            </w:pPr>
          </w:p>
        </w:tc>
      </w:tr>
      <w:tr>
        <w:tblPrEx>
          <w:tblLayout w:type="fixed"/>
          <w:tblCellMar>
            <w:top w:w="0" w:type="dxa"/>
            <w:left w:w="108" w:type="dxa"/>
            <w:bottom w:w="0" w:type="dxa"/>
            <w:right w:w="108" w:type="dxa"/>
          </w:tblCellMar>
        </w:tblPrEx>
        <w:trPr>
          <w:trHeight w:val="499" w:hRule="atLeast"/>
        </w:trPr>
        <w:tc>
          <w:tcPr>
            <w:tcW w:w="790" w:type="dxa"/>
            <w:tcBorders>
              <w:top w:val="nil"/>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3</w:t>
            </w:r>
          </w:p>
        </w:tc>
        <w:tc>
          <w:tcPr>
            <w:tcW w:w="3009" w:type="dxa"/>
            <w:tcBorders>
              <w:top w:val="nil"/>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设备安装</w:t>
            </w:r>
          </w:p>
        </w:tc>
        <w:tc>
          <w:tcPr>
            <w:tcW w:w="2269" w:type="dxa"/>
            <w:tcBorders>
              <w:top w:val="nil"/>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14</w:t>
            </w:r>
          </w:p>
        </w:tc>
        <w:tc>
          <w:tcPr>
            <w:tcW w:w="2454"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仿宋_GB2312" w:eastAsia="仿宋_GB2312"/>
                <w:sz w:val="24"/>
              </w:rPr>
            </w:pPr>
          </w:p>
        </w:tc>
      </w:tr>
      <w:tr>
        <w:tblPrEx>
          <w:tblLayout w:type="fixed"/>
          <w:tblCellMar>
            <w:top w:w="0" w:type="dxa"/>
            <w:left w:w="108" w:type="dxa"/>
            <w:bottom w:w="0" w:type="dxa"/>
            <w:right w:w="108" w:type="dxa"/>
          </w:tblCellMar>
        </w:tblPrEx>
        <w:trPr>
          <w:trHeight w:val="499" w:hRule="atLeast"/>
        </w:trPr>
        <w:tc>
          <w:tcPr>
            <w:tcW w:w="790" w:type="dxa"/>
            <w:tcBorders>
              <w:top w:val="nil"/>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4</w:t>
            </w:r>
          </w:p>
        </w:tc>
        <w:tc>
          <w:tcPr>
            <w:tcW w:w="3009" w:type="dxa"/>
            <w:tcBorders>
              <w:top w:val="nil"/>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项目总投资小计</w:t>
            </w:r>
          </w:p>
        </w:tc>
        <w:tc>
          <w:tcPr>
            <w:tcW w:w="2269" w:type="dxa"/>
            <w:tcBorders>
              <w:top w:val="nil"/>
              <w:left w:val="nil"/>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88</w:t>
            </w:r>
          </w:p>
        </w:tc>
        <w:tc>
          <w:tcPr>
            <w:tcW w:w="2454" w:type="dxa"/>
            <w:tcBorders>
              <w:top w:val="nil"/>
              <w:left w:val="nil"/>
              <w:bottom w:val="single" w:color="auto" w:sz="4" w:space="0"/>
              <w:right w:val="single" w:color="auto" w:sz="4" w:space="0"/>
            </w:tcBorders>
            <w:vAlign w:val="center"/>
          </w:tcPr>
          <w:p>
            <w:pPr>
              <w:spacing w:line="360" w:lineRule="auto"/>
              <w:ind w:firstLine="480" w:firstLineChars="200"/>
              <w:jc w:val="center"/>
              <w:rPr>
                <w:rFonts w:ascii="仿宋_GB2312" w:eastAsia="仿宋_GB2312"/>
                <w:sz w:val="24"/>
              </w:rPr>
            </w:pPr>
          </w:p>
        </w:tc>
      </w:tr>
    </w:tbl>
    <w:p>
      <w:pPr>
        <w:spacing w:line="360" w:lineRule="auto"/>
        <w:ind w:firstLine="600" w:firstLineChars="200"/>
        <w:rPr>
          <w:rFonts w:ascii="仿宋_GB2312" w:eastAsia="仿宋_GB2312"/>
          <w:sz w:val="30"/>
          <w:szCs w:val="30"/>
        </w:rPr>
      </w:pPr>
      <w:r>
        <w:rPr>
          <w:rFonts w:hint="eastAsia" w:ascii="仿宋_GB2312" w:eastAsia="仿宋_GB2312"/>
          <w:sz w:val="30"/>
          <w:szCs w:val="30"/>
        </w:rPr>
        <w:t>处理能力：4800t/年钼矿石高温焙烧</w:t>
      </w:r>
    </w:p>
    <w:p>
      <w:pPr>
        <w:numPr>
          <w:ilvl w:val="0"/>
          <w:numId w:val="2"/>
        </w:numPr>
        <w:spacing w:line="320" w:lineRule="exact"/>
        <w:ind w:firstLine="602" w:firstLineChars="200"/>
        <w:rPr>
          <w:rFonts w:ascii="仿宋_GB2312" w:eastAsia="仿宋_GB2312"/>
          <w:b/>
          <w:sz w:val="30"/>
          <w:szCs w:val="30"/>
        </w:rPr>
      </w:pPr>
      <w:r>
        <w:rPr>
          <w:rFonts w:hint="eastAsia" w:ascii="仿宋_GB2312" w:eastAsia="仿宋_GB2312"/>
          <w:b/>
          <w:sz w:val="30"/>
          <w:szCs w:val="30"/>
        </w:rPr>
        <w:t>运行费用</w:t>
      </w:r>
    </w:p>
    <w:p>
      <w:pPr>
        <w:spacing w:line="360" w:lineRule="auto"/>
        <w:rPr>
          <w:rFonts w:ascii="仿宋_GB2312" w:eastAsia="仿宋_GB2312"/>
          <w:bCs/>
          <w:sz w:val="28"/>
          <w:szCs w:val="28"/>
        </w:rPr>
      </w:pPr>
      <w:r>
        <w:rPr>
          <w:rFonts w:hint="eastAsia" w:ascii="仿宋_GB2312" w:eastAsia="仿宋_GB2312"/>
          <w:bCs/>
          <w:sz w:val="28"/>
          <w:szCs w:val="28"/>
        </w:rPr>
        <w:t>（1）年电耗成本</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以系统年运行7200小时计，单位电价取河南省平均电价0.6元/计，则年电耗成本：</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7200×30.5×0.6÷10000=13.18（万元/年）</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（2）年消耗反吹压缩空气成本</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反吹压缩空气由空压机提供，前已计费。</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（3）年人工成本</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本装置全自动控制，由回转窑操作人员兼管，无需专人值守操作。</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（4）年均滤芯消耗费用</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滤芯质保寿命3年，通常可以使用4年，按质保时间3年计，滤芯费用67.6万元，年更换滤芯费用为：</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67.6万元/套÷3＝22.53（万元/年）</w:t>
      </w:r>
    </w:p>
    <w:p>
      <w:pPr>
        <w:adjustRightInd w:val="0"/>
        <w:snapToGrid w:val="0"/>
        <w:spacing w:beforeLines="20" w:afterLines="10"/>
        <w:outlineLvl w:val="0"/>
        <w:rPr>
          <w:rFonts w:ascii="仿宋_GB2312" w:eastAsia="仿宋_GB2312"/>
          <w:sz w:val="28"/>
          <w:szCs w:val="28"/>
        </w:rPr>
      </w:pPr>
      <w:r>
        <w:rPr>
          <w:rFonts w:hint="eastAsia" w:ascii="仿宋_GB2312" w:eastAsia="仿宋_GB2312"/>
          <w:sz w:val="28"/>
          <w:szCs w:val="28"/>
        </w:rPr>
        <w:t>（5）年运行费用</w:t>
      </w:r>
    </w:p>
    <w:p>
      <w:pPr>
        <w:adjustRightInd w:val="0"/>
        <w:snapToGrid w:val="0"/>
        <w:spacing w:beforeLines="20" w:afterLines="10"/>
        <w:jc w:val="center"/>
        <w:outlineLvl w:val="0"/>
        <w:rPr>
          <w:rFonts w:ascii="仿宋_GB2312" w:eastAsia="仿宋_GB2312"/>
          <w:sz w:val="24"/>
        </w:rPr>
      </w:pPr>
      <w:r>
        <w:rPr>
          <w:rFonts w:hint="eastAsia" w:ascii="仿宋_GB2312" w:eastAsia="仿宋_GB2312"/>
          <w:sz w:val="24"/>
        </w:rPr>
        <w:t>表3 年运行费用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2325"/>
        <w:gridCol w:w="24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61"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序号</w:t>
            </w:r>
          </w:p>
        </w:tc>
        <w:tc>
          <w:tcPr>
            <w:tcW w:w="2325"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项目</w:t>
            </w:r>
          </w:p>
        </w:tc>
        <w:tc>
          <w:tcPr>
            <w:tcW w:w="2405"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年消耗费用（万元）</w:t>
            </w:r>
          </w:p>
        </w:tc>
        <w:tc>
          <w:tcPr>
            <w:tcW w:w="2131"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1</w:t>
            </w:r>
          </w:p>
        </w:tc>
        <w:tc>
          <w:tcPr>
            <w:tcW w:w="2325"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电耗成本</w:t>
            </w:r>
          </w:p>
        </w:tc>
        <w:tc>
          <w:tcPr>
            <w:tcW w:w="2405"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13.18</w:t>
            </w:r>
          </w:p>
        </w:tc>
        <w:tc>
          <w:tcPr>
            <w:tcW w:w="2131" w:type="dxa"/>
            <w:vAlign w:val="center"/>
          </w:tcPr>
          <w:p>
            <w:pPr>
              <w:adjustRightInd w:val="0"/>
              <w:snapToGrid w:val="0"/>
              <w:spacing w:beforeLines="20" w:afterLines="10"/>
              <w:outlineLvl w:val="0"/>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2</w:t>
            </w:r>
          </w:p>
        </w:tc>
        <w:tc>
          <w:tcPr>
            <w:tcW w:w="2325"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年人工费用</w:t>
            </w:r>
          </w:p>
        </w:tc>
        <w:tc>
          <w:tcPr>
            <w:tcW w:w="2405"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0</w:t>
            </w:r>
          </w:p>
        </w:tc>
        <w:tc>
          <w:tcPr>
            <w:tcW w:w="2131" w:type="dxa"/>
            <w:vAlign w:val="center"/>
          </w:tcPr>
          <w:p>
            <w:pPr>
              <w:adjustRightInd w:val="0"/>
              <w:snapToGrid w:val="0"/>
              <w:spacing w:beforeLines="20" w:afterLines="10"/>
              <w:outlineLvl w:val="0"/>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3</w:t>
            </w:r>
          </w:p>
        </w:tc>
        <w:tc>
          <w:tcPr>
            <w:tcW w:w="2325"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年均滤芯消耗费用</w:t>
            </w:r>
          </w:p>
        </w:tc>
        <w:tc>
          <w:tcPr>
            <w:tcW w:w="2405"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22.53</w:t>
            </w:r>
          </w:p>
        </w:tc>
        <w:tc>
          <w:tcPr>
            <w:tcW w:w="2131" w:type="dxa"/>
            <w:vAlign w:val="center"/>
          </w:tcPr>
          <w:p>
            <w:pPr>
              <w:adjustRightInd w:val="0"/>
              <w:snapToGrid w:val="0"/>
              <w:spacing w:beforeLines="20" w:afterLines="10"/>
              <w:outlineLvl w:val="0"/>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4</w:t>
            </w:r>
          </w:p>
        </w:tc>
        <w:tc>
          <w:tcPr>
            <w:tcW w:w="2325"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年运行费用合计</w:t>
            </w:r>
          </w:p>
        </w:tc>
        <w:tc>
          <w:tcPr>
            <w:tcW w:w="2405"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35.71</w:t>
            </w:r>
          </w:p>
        </w:tc>
        <w:tc>
          <w:tcPr>
            <w:tcW w:w="2131" w:type="dxa"/>
            <w:vAlign w:val="center"/>
          </w:tcPr>
          <w:p>
            <w:pPr>
              <w:adjustRightInd w:val="0"/>
              <w:snapToGrid w:val="0"/>
              <w:spacing w:beforeLines="20" w:afterLines="10"/>
              <w:outlineLvl w:val="0"/>
              <w:rPr>
                <w:rFonts w:ascii="仿宋_GB2312" w:hAnsi="Calibri" w:eastAsia="仿宋_GB2312" w:cs="Times New Roman"/>
                <w:sz w:val="24"/>
              </w:rPr>
            </w:pPr>
          </w:p>
        </w:tc>
      </w:tr>
    </w:tbl>
    <w:p>
      <w:pPr>
        <w:spacing w:line="320" w:lineRule="exact"/>
        <w:ind w:firstLine="600" w:firstLineChars="200"/>
        <w:rPr>
          <w:rFonts w:ascii="仿宋_GB2312" w:eastAsia="仿宋_GB2312"/>
          <w:sz w:val="30"/>
          <w:szCs w:val="30"/>
        </w:rPr>
      </w:pPr>
    </w:p>
    <w:p>
      <w:pPr>
        <w:adjustRightInd w:val="0"/>
        <w:snapToGrid w:val="0"/>
        <w:spacing w:beforeLines="20" w:afterLines="10" w:line="360" w:lineRule="auto"/>
        <w:ind w:firstLine="280" w:firstLineChars="100"/>
        <w:outlineLvl w:val="0"/>
        <w:rPr>
          <w:rFonts w:ascii="仿宋_GB2312" w:eastAsia="仿宋_GB2312"/>
          <w:sz w:val="28"/>
          <w:szCs w:val="28"/>
        </w:rPr>
      </w:pPr>
      <w:r>
        <w:rPr>
          <w:rFonts w:hint="eastAsia" w:ascii="仿宋_GB2312" w:eastAsia="仿宋_GB2312"/>
          <w:sz w:val="28"/>
          <w:szCs w:val="28"/>
        </w:rPr>
        <w:t>项目年收益计算</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（1）多回收氧化钼粉尘价值</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a、多回收氧化钼粉尘量</w:t>
      </w:r>
    </w:p>
    <w:p>
      <w:pPr>
        <w:adjustRightInd w:val="0"/>
        <w:snapToGrid w:val="0"/>
        <w:spacing w:beforeLines="20" w:afterLines="10" w:line="360" w:lineRule="auto"/>
        <w:ind w:firstLine="560" w:firstLineChars="200"/>
        <w:outlineLvl w:val="0"/>
        <w:rPr>
          <w:rFonts w:ascii="仿宋_GB2312" w:eastAsia="仿宋_GB2312"/>
          <w:sz w:val="28"/>
          <w:szCs w:val="28"/>
        </w:rPr>
      </w:pPr>
      <w:r>
        <w:rPr>
          <w:rFonts w:hint="eastAsia" w:ascii="仿宋_GB2312" w:eastAsia="仿宋_GB2312"/>
          <w:sz w:val="28"/>
          <w:szCs w:val="28"/>
        </w:rPr>
        <w:t>原工艺采用布袋除尘器回收，布袋除尘出口粉尘含量高，造成氧化钼有价粉尘损耗。</w:t>
      </w:r>
    </w:p>
    <w:p>
      <w:pPr>
        <w:adjustRightInd w:val="0"/>
        <w:snapToGrid w:val="0"/>
        <w:spacing w:beforeLines="20" w:afterLines="10" w:line="360" w:lineRule="auto"/>
        <w:ind w:firstLine="560" w:firstLineChars="200"/>
        <w:outlineLvl w:val="0"/>
        <w:rPr>
          <w:rFonts w:ascii="仿宋_GB2312" w:eastAsia="仿宋_GB2312"/>
          <w:sz w:val="28"/>
          <w:szCs w:val="28"/>
        </w:rPr>
      </w:pPr>
      <w:r>
        <w:rPr>
          <w:rFonts w:hint="eastAsia" w:ascii="仿宋_GB2312" w:eastAsia="仿宋_GB2312"/>
          <w:sz w:val="28"/>
          <w:szCs w:val="28"/>
        </w:rPr>
        <w:t>经测布袋除尘出口粉尘含量100mg/m3，金属间化合物膜除尘器出口10mg/m3，则：</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每小时金属间化合物膜除尘器可比布袋除尘器多回收四氧化三钴粉尘量：（100 -10）×11000÷106=0.99（kg/h）</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每年可多回收四氧化三钴粉尘量：0.99×7200=7128（kg）</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b、多回收氧化钼粉尘量价值</w:t>
      </w:r>
    </w:p>
    <w:p>
      <w:pPr>
        <w:adjustRightInd w:val="0"/>
        <w:snapToGrid w:val="0"/>
        <w:spacing w:beforeLines="20" w:afterLines="10" w:line="360" w:lineRule="auto"/>
        <w:ind w:firstLine="560" w:firstLineChars="200"/>
        <w:outlineLvl w:val="0"/>
        <w:rPr>
          <w:rFonts w:ascii="仿宋_GB2312" w:eastAsia="仿宋_GB2312"/>
          <w:sz w:val="28"/>
          <w:szCs w:val="28"/>
        </w:rPr>
      </w:pPr>
      <w:r>
        <w:rPr>
          <w:rFonts w:hint="eastAsia" w:ascii="仿宋_GB2312" w:eastAsia="仿宋_GB2312"/>
          <w:sz w:val="28"/>
          <w:szCs w:val="28"/>
        </w:rPr>
        <w:t>四氧化三钴粉尘市场价值在6万/吨以上，多回收粉尘价值增加的经济价值：</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7128×6÷10000=42.77（万元/年）</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（2）减少设备维护检修带来的增产增效</w:t>
      </w:r>
    </w:p>
    <w:p>
      <w:pPr>
        <w:adjustRightInd w:val="0"/>
        <w:snapToGrid w:val="0"/>
        <w:spacing w:beforeLines="20" w:afterLines="10" w:line="360" w:lineRule="auto"/>
        <w:ind w:firstLine="560" w:firstLineChars="200"/>
        <w:outlineLvl w:val="0"/>
        <w:rPr>
          <w:rFonts w:ascii="仿宋_GB2312" w:eastAsia="仿宋_GB2312"/>
          <w:sz w:val="28"/>
          <w:szCs w:val="28"/>
        </w:rPr>
      </w:pPr>
      <w:r>
        <w:rPr>
          <w:rFonts w:hint="eastAsia" w:ascii="仿宋_GB2312" w:eastAsia="仿宋_GB2312"/>
          <w:sz w:val="28"/>
          <w:szCs w:val="28"/>
        </w:rPr>
        <w:t>原布袋易烧袋，运行不稳定，检修较为频繁。采用金属间化合物膜除尘器，每年节约停车检修时间5天。</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该生产线日产氧化钼16t/d，每年可增产80吨氧化钼，市场价值480万。增加的产值，扣除生产成本，每吨产品利润按15%计，增产增效产生的经济价值为：</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480×15%=72（万元/年）</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（3）为铼的回收创造了条件</w:t>
      </w:r>
    </w:p>
    <w:p>
      <w:pPr>
        <w:adjustRightInd w:val="0"/>
        <w:snapToGrid w:val="0"/>
        <w:spacing w:beforeLines="20" w:afterLines="10" w:line="360" w:lineRule="auto"/>
        <w:ind w:firstLine="560" w:firstLineChars="200"/>
        <w:outlineLvl w:val="0"/>
        <w:rPr>
          <w:rFonts w:ascii="仿宋_GB2312" w:eastAsia="仿宋_GB2312"/>
          <w:sz w:val="28"/>
          <w:szCs w:val="28"/>
        </w:rPr>
      </w:pPr>
      <w:r>
        <w:rPr>
          <w:rFonts w:hint="eastAsia" w:ascii="仿宋_GB2312" w:eastAsia="仿宋_GB2312"/>
          <w:sz w:val="28"/>
          <w:szCs w:val="28"/>
        </w:rPr>
        <w:t>对烟气进行高温、高精度的净化后，使铼可以与净烟气一同以气态方式穿过滤芯，为铼的回收创造了条件。烟气中铼的回收将产生更为可观的价值。</w:t>
      </w:r>
    </w:p>
    <w:p>
      <w:pPr>
        <w:adjustRightInd w:val="0"/>
        <w:snapToGrid w:val="0"/>
        <w:spacing w:beforeLines="20" w:afterLines="10" w:line="360" w:lineRule="auto"/>
        <w:outlineLvl w:val="0"/>
        <w:rPr>
          <w:rFonts w:ascii="仿宋_GB2312" w:eastAsia="仿宋_GB2312"/>
          <w:sz w:val="28"/>
          <w:szCs w:val="28"/>
        </w:rPr>
      </w:pPr>
      <w:r>
        <w:rPr>
          <w:rFonts w:hint="eastAsia" w:ascii="仿宋_GB2312" w:eastAsia="仿宋_GB2312"/>
          <w:sz w:val="28"/>
          <w:szCs w:val="28"/>
        </w:rPr>
        <w:t>（4）项目年总收益</w:t>
      </w:r>
    </w:p>
    <w:p>
      <w:pPr>
        <w:adjustRightInd w:val="0"/>
        <w:snapToGrid w:val="0"/>
        <w:spacing w:beforeLines="20" w:afterLines="10"/>
        <w:jc w:val="center"/>
        <w:outlineLvl w:val="0"/>
        <w:rPr>
          <w:rFonts w:ascii="仿宋_GB2312" w:eastAsia="仿宋_GB2312"/>
          <w:sz w:val="24"/>
        </w:rPr>
      </w:pPr>
      <w:r>
        <w:rPr>
          <w:rFonts w:hint="eastAsia" w:ascii="仿宋_GB2312" w:eastAsia="仿宋_GB2312"/>
          <w:sz w:val="24"/>
        </w:rPr>
        <w:t>表4 项目年总收益</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724"/>
        <w:gridCol w:w="1663"/>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序号</w:t>
            </w:r>
          </w:p>
        </w:tc>
        <w:tc>
          <w:tcPr>
            <w:tcW w:w="2724"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价值点</w:t>
            </w:r>
          </w:p>
        </w:tc>
        <w:tc>
          <w:tcPr>
            <w:tcW w:w="1663"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价值（万元）</w:t>
            </w:r>
          </w:p>
        </w:tc>
        <w:tc>
          <w:tcPr>
            <w:tcW w:w="3362"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1</w:t>
            </w:r>
          </w:p>
        </w:tc>
        <w:tc>
          <w:tcPr>
            <w:tcW w:w="2724"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减少排放，多回收粉尘</w:t>
            </w:r>
          </w:p>
        </w:tc>
        <w:tc>
          <w:tcPr>
            <w:tcW w:w="1663"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42.77</w:t>
            </w:r>
          </w:p>
        </w:tc>
        <w:tc>
          <w:tcPr>
            <w:tcW w:w="3362" w:type="dxa"/>
            <w:vAlign w:val="center"/>
          </w:tcPr>
          <w:p>
            <w:pPr>
              <w:adjustRightInd w:val="0"/>
              <w:snapToGrid w:val="0"/>
              <w:spacing w:beforeLines="20" w:afterLines="10"/>
              <w:outlineLvl w:val="0"/>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773"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2</w:t>
            </w:r>
          </w:p>
        </w:tc>
        <w:tc>
          <w:tcPr>
            <w:tcW w:w="2724"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减少设备维护检修带来的增产增效</w:t>
            </w:r>
          </w:p>
        </w:tc>
        <w:tc>
          <w:tcPr>
            <w:tcW w:w="1663"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72</w:t>
            </w:r>
          </w:p>
        </w:tc>
        <w:tc>
          <w:tcPr>
            <w:tcW w:w="3362" w:type="dxa"/>
            <w:vAlign w:val="center"/>
          </w:tcPr>
          <w:p>
            <w:pPr>
              <w:adjustRightInd w:val="0"/>
              <w:snapToGrid w:val="0"/>
              <w:spacing w:beforeLines="20" w:afterLines="10"/>
              <w:outlineLvl w:val="0"/>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3</w:t>
            </w:r>
          </w:p>
        </w:tc>
        <w:tc>
          <w:tcPr>
            <w:tcW w:w="2724"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铼的回收</w:t>
            </w:r>
          </w:p>
        </w:tc>
        <w:tc>
          <w:tcPr>
            <w:tcW w:w="1663"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未计</w:t>
            </w:r>
          </w:p>
        </w:tc>
        <w:tc>
          <w:tcPr>
            <w:tcW w:w="3362"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为铼回收创造了良好的条件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773"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4</w:t>
            </w:r>
          </w:p>
        </w:tc>
        <w:tc>
          <w:tcPr>
            <w:tcW w:w="2724"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小计</w:t>
            </w:r>
          </w:p>
        </w:tc>
        <w:tc>
          <w:tcPr>
            <w:tcW w:w="1663" w:type="dxa"/>
            <w:vAlign w:val="center"/>
          </w:tcPr>
          <w:p>
            <w:pPr>
              <w:adjustRightInd w:val="0"/>
              <w:snapToGrid w:val="0"/>
              <w:spacing w:beforeLines="20" w:afterLines="10"/>
              <w:outlineLvl w:val="0"/>
              <w:rPr>
                <w:rFonts w:ascii="仿宋_GB2312" w:hAnsi="Calibri" w:eastAsia="仿宋_GB2312" w:cs="Times New Roman"/>
                <w:sz w:val="24"/>
              </w:rPr>
            </w:pPr>
            <w:r>
              <w:rPr>
                <w:rFonts w:hint="eastAsia" w:ascii="仿宋_GB2312" w:hAnsi="Calibri" w:eastAsia="仿宋_GB2312" w:cs="Times New Roman"/>
                <w:sz w:val="24"/>
              </w:rPr>
              <w:t>114.77</w:t>
            </w:r>
          </w:p>
        </w:tc>
        <w:tc>
          <w:tcPr>
            <w:tcW w:w="3362" w:type="dxa"/>
            <w:vAlign w:val="center"/>
          </w:tcPr>
          <w:p>
            <w:pPr>
              <w:adjustRightInd w:val="0"/>
              <w:snapToGrid w:val="0"/>
              <w:spacing w:beforeLines="20" w:afterLines="10"/>
              <w:outlineLvl w:val="0"/>
              <w:rPr>
                <w:rFonts w:ascii="仿宋_GB2312" w:hAnsi="Calibri" w:eastAsia="仿宋_GB2312" w:cs="Times New Roman"/>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D8B1"/>
    <w:multiLevelType w:val="singleLevel"/>
    <w:tmpl w:val="5A1CD8B1"/>
    <w:lvl w:ilvl="0" w:tentative="0">
      <w:start w:val="3"/>
      <w:numFmt w:val="decimal"/>
      <w:suff w:val="nothing"/>
      <w:lvlText w:val="%1、"/>
      <w:lvlJc w:val="left"/>
    </w:lvl>
  </w:abstractNum>
  <w:abstractNum w:abstractNumId="1">
    <w:nsid w:val="5A1D191A"/>
    <w:multiLevelType w:val="singleLevel"/>
    <w:tmpl w:val="5A1D191A"/>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D511D"/>
    <w:rsid w:val="28A21E4E"/>
    <w:rsid w:val="4ACD511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2018-04-21T02:02:00Z</dcterms:created>
  <dc:creator>小熊陪我睡</dc:creator>
  <cp:lastModifiedBy>小熊陪我睡</cp:lastModifiedBy>
  <dcterms:modified xsi:type="dcterms:W3CDTF">2018-04-21T07:14:34Z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