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方正小标宋简体" w:hAnsi="宋体" w:eastAsia="方正小标宋简体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kern w:val="0"/>
          <w:sz w:val="32"/>
          <w:szCs w:val="32"/>
        </w:rPr>
        <w:t>附件</w:t>
      </w:r>
      <w:r>
        <w:rPr>
          <w:rFonts w:hint="eastAsia" w:ascii="方正小标宋简体" w:hAnsi="宋体" w:eastAsia="方正小标宋简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after="156" w:afterLines="50"/>
        <w:jc w:val="center"/>
        <w:rPr>
          <w:rFonts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《典型案例》编写提纲</w:t>
      </w:r>
    </w:p>
    <w:p>
      <w:pPr>
        <w:spacing w:before="156" w:beforeLines="50" w:after="156" w:afterLines="50" w:line="32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一、案例名称</w:t>
      </w:r>
    </w:p>
    <w:p>
      <w:pPr>
        <w:spacing w:before="156" w:beforeLines="50" w:after="156" w:afterLines="50" w:line="32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二、项目概况</w:t>
      </w:r>
    </w:p>
    <w:p>
      <w:pPr>
        <w:spacing w:line="3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限500字，说明项目的处理对象、处理能力，建设、调试和正常运行时间等。</w:t>
      </w:r>
    </w:p>
    <w:p>
      <w:pPr>
        <w:spacing w:before="156" w:beforeLines="50" w:after="156" w:afterLines="50" w:line="32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三、工艺简介</w:t>
      </w:r>
    </w:p>
    <w:p>
      <w:pPr>
        <w:spacing w:line="3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（一）工艺流程</w:t>
      </w:r>
    </w:p>
    <w:p>
      <w:pPr>
        <w:spacing w:line="3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限500字，简要介绍项目的工艺原理，工艺流程，关键工艺参数，特殊性能等；可附工艺图或设施照片。</w:t>
      </w:r>
    </w:p>
    <w:p>
      <w:pPr>
        <w:spacing w:line="3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（二）关键技术或设计特征</w:t>
      </w:r>
    </w:p>
    <w:p>
      <w:pPr>
        <w:spacing w:line="3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限500字，简要介绍项目采用的关键工艺技术、工艺布局特点、特殊设计或装置，采用的新材料、新系统等。</w:t>
      </w:r>
    </w:p>
    <w:p>
      <w:pPr>
        <w:spacing w:before="156" w:beforeLines="50" w:after="156" w:afterLines="50" w:line="32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四、技术指标</w:t>
      </w:r>
    </w:p>
    <w:p>
      <w:pPr>
        <w:spacing w:line="3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限500字，介绍项目适用的主要污染物、去除效率、适用排放标准及达标情况、主要污染物的年消减量、主要副产品的产生量、关键设备/设施的运行维护参数（如：填料、催化剂等）、二次污染排放指标、节水节能量等。</w:t>
      </w:r>
    </w:p>
    <w:p>
      <w:pPr>
        <w:spacing w:before="156" w:beforeLines="50" w:after="156" w:afterLines="50" w:line="32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五、投资费用</w:t>
      </w:r>
    </w:p>
    <w:p>
      <w:pPr>
        <w:spacing w:line="3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限200字，说明项目的投资基本构成，总投资费用，计算单位处理能力的投资费用。</w:t>
      </w:r>
    </w:p>
    <w:p>
      <w:pPr>
        <w:spacing w:before="156" w:beforeLines="50" w:after="156" w:afterLines="50" w:line="32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六、运行费用</w:t>
      </w:r>
    </w:p>
    <w:p>
      <w:pPr>
        <w:spacing w:line="3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限200字，说明主要原料年消耗量和能耗，以及单位处理量的原料消耗量和能耗。计算项目年运行费用和单位处理能力的运行费用。如果项目实施可以带来副产品或明显节水节能效果，应用数据说明其经济效益。</w:t>
      </w:r>
    </w:p>
    <w:p>
      <w:pPr>
        <w:spacing w:before="156" w:beforeLines="50" w:after="156" w:afterLines="50" w:line="32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七、用户意见</w:t>
      </w:r>
    </w:p>
    <w:p>
      <w:pPr>
        <w:spacing w:line="3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限200字，由用户提出技术评价，说明技术的特点、效果、存在的问题、推广意见等。</w:t>
      </w:r>
    </w:p>
    <w:p>
      <w:pPr>
        <w:spacing w:before="156" w:beforeLines="50" w:after="156" w:afterLines="50" w:line="32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八、联系方式</w:t>
      </w:r>
    </w:p>
    <w:p>
      <w:pPr>
        <w:spacing w:line="3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技术信息咨询单位名称、联系人、电话、地址、邮编、电子邮箱。</w:t>
      </w:r>
    </w:p>
    <w:p>
      <w:pPr>
        <w:adjustRightInd w:val="0"/>
        <w:snapToGrid w:val="0"/>
        <w:spacing w:before="312" w:beforeLines="100" w:line="320" w:lineRule="exact"/>
        <w:rPr>
          <w:rFonts w:ascii="黑体" w:hAnsi="宋体" w:eastAsia="黑体"/>
          <w:kern w:val="0"/>
          <w:sz w:val="24"/>
          <w:szCs w:val="32"/>
        </w:rPr>
      </w:pPr>
      <w:r>
        <w:rPr>
          <w:rFonts w:hint="eastAsia" w:ascii="黑体" w:hAnsi="宋体" w:eastAsia="黑体"/>
          <w:kern w:val="0"/>
          <w:sz w:val="24"/>
          <w:szCs w:val="32"/>
        </w:rPr>
        <w:t>（注：请参照 “参考范例”格式写法编写典型案例，案例数量不超过2个）</w:t>
      </w:r>
    </w:p>
    <w:p>
      <w:pPr>
        <w:adjustRightInd w:val="0"/>
        <w:snapToGrid w:val="0"/>
        <w:spacing w:before="312" w:beforeLines="100" w:line="320" w:lineRule="exact"/>
        <w:rPr>
          <w:rFonts w:ascii="黑体" w:hAnsi="宋体" w:eastAsia="黑体"/>
          <w:kern w:val="0"/>
          <w:sz w:val="24"/>
          <w:szCs w:val="32"/>
        </w:rPr>
      </w:pPr>
    </w:p>
    <w:p>
      <w:pPr>
        <w:adjustRightInd w:val="0"/>
        <w:snapToGrid w:val="0"/>
        <w:spacing w:after="312" w:afterLines="100"/>
        <w:jc w:val="center"/>
        <w:rPr>
          <w:rFonts w:ascii="黑体" w:hAnsi="宋体" w:eastAsia="黑体"/>
          <w:kern w:val="0"/>
          <w:sz w:val="36"/>
          <w:szCs w:val="36"/>
        </w:rPr>
      </w:pPr>
      <w:r>
        <w:rPr>
          <w:rFonts w:hint="eastAsia" w:ascii="黑体" w:hAnsi="宋体" w:eastAsia="黑体"/>
          <w:kern w:val="0"/>
          <w:sz w:val="36"/>
          <w:szCs w:val="36"/>
        </w:rPr>
        <w:t>参考范例</w:t>
      </w:r>
    </w:p>
    <w:p>
      <w:pPr>
        <w:spacing w:before="156" w:beforeLines="50" w:after="156" w:afterLines="50" w:line="36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一、案例名称</w:t>
      </w:r>
    </w:p>
    <w:p>
      <w:pPr>
        <w:snapToGrid w:val="0"/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改良UCT工艺××××项目（××××污水处理厂）</w:t>
      </w:r>
    </w:p>
    <w:p>
      <w:pPr>
        <w:spacing w:before="156" w:beforeLines="50" w:after="156" w:afterLines="50" w:line="36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二、项目概况</w:t>
      </w:r>
    </w:p>
    <w:p>
      <w:pPr>
        <w:snapToGrid w:val="0"/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××××污水处理厂设计日处理水量×××m</w:t>
      </w:r>
      <w:r>
        <w:rPr>
          <w:rFonts w:hint="eastAsia" w:ascii="仿宋_GB2312" w:eastAsia="仿宋_GB2312"/>
          <w:sz w:val="24"/>
          <w:vertAlign w:val="superscript"/>
        </w:rPr>
        <w:t>3</w:t>
      </w:r>
      <w:r>
        <w:rPr>
          <w:rFonts w:hint="eastAsia" w:ascii="仿宋_GB2312" w:eastAsia="仿宋_GB2312"/>
          <w:sz w:val="24"/>
        </w:rPr>
        <w:t>/d，污水来源于城镇生活、生产污水以及×××××工业园区的工业废水，××年××月开工建设，于××年××月完成调试并建成投产。本项目于××年××月××日获××××××××奖。</w:t>
      </w:r>
    </w:p>
    <w:p>
      <w:pPr>
        <w:spacing w:before="156" w:beforeLines="50" w:after="156" w:afterLines="50" w:line="36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三、工艺简介</w:t>
      </w:r>
    </w:p>
    <w:p>
      <w:pPr>
        <w:snapToGrid w:val="0"/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（一）工艺流程</w:t>
      </w:r>
    </w:p>
    <w:p>
      <w:pPr>
        <w:snapToGrid w:val="0"/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本项目是针对UCT工艺进行改良的技术，可达到脱氮除磷效果，工艺流程为：×××××—×××××—改良UCT分段进水生物反应池—二沉池—×××××—×××××—出水。</w:t>
      </w:r>
    </w:p>
    <w:p>
      <w:pPr>
        <w:snapToGrid w:val="0"/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本项目采用分段进水生物脱氮工艺，由3段缺氧/好氧顺序排列组成。原水分段进入各缺氧区，回流污泥回流到系统的首端。第一段的缺氧区利用进入该区污水Q1中的碳源对回流污泥中的NO</w:t>
      </w:r>
      <w:r>
        <w:rPr>
          <w:rFonts w:hint="eastAsia" w:ascii="仿宋_GB2312" w:eastAsia="仿宋_GB2312"/>
          <w:sz w:val="24"/>
          <w:vertAlign w:val="subscript"/>
        </w:rPr>
        <w:t>x</w:t>
      </w:r>
      <w:r>
        <w:rPr>
          <w:rFonts w:hint="eastAsia" w:ascii="仿宋_GB2312" w:eastAsia="仿宋_GB2312"/>
          <w:sz w:val="24"/>
        </w:rPr>
        <w:t>-N进行反硝化，然后，混合液流入第一段的好氧区进行硝化反应；反应后的混合污水流入到第二段的缺氧区，利用进入该区污水Q2中的碳源进行反硝化，混合液再进入到第二段的好氧区进行硝化反应，以后各段以此类推。</w:t>
      </w:r>
    </w:p>
    <w:p>
      <w:pPr>
        <w:snapToGrid w:val="0"/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（二）关键技术或设计特征</w:t>
      </w:r>
    </w:p>
    <w:p>
      <w:pPr>
        <w:pStyle w:val="6"/>
        <w:numPr>
          <w:ilvl w:val="0"/>
          <w:numId w:val="1"/>
        </w:numPr>
        <w:snapToGrid w:val="0"/>
        <w:spacing w:line="276" w:lineRule="auto"/>
        <w:ind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该工艺采用××××××××××进水方式并辅以过程控制，将原水中的碳源主要为反硝化和除磷利用，提高总氮、总磷去除率</w:t>
      </w:r>
    </w:p>
    <w:p>
      <w:pPr>
        <w:pStyle w:val="6"/>
        <w:numPr>
          <w:ilvl w:val="0"/>
          <w:numId w:val="1"/>
        </w:numPr>
        <w:snapToGrid w:val="0"/>
        <w:spacing w:line="276" w:lineRule="auto"/>
        <w:ind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建立×××××、×××××、×××××控制系统等，提高了自动控制水平。</w:t>
      </w:r>
    </w:p>
    <w:p>
      <w:pPr>
        <w:pStyle w:val="6"/>
        <w:numPr>
          <w:ilvl w:val="0"/>
          <w:numId w:val="1"/>
        </w:numPr>
        <w:snapToGrid w:val="0"/>
        <w:spacing w:line="276" w:lineRule="auto"/>
        <w:ind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采用了分段进水×××××技术、×××××技术和×××××等新技术，可以使出水稳定达标。</w:t>
      </w:r>
    </w:p>
    <w:p>
      <w:pPr>
        <w:pStyle w:val="6"/>
        <w:numPr>
          <w:ilvl w:val="0"/>
          <w:numId w:val="1"/>
        </w:numPr>
        <w:snapToGrid w:val="0"/>
        <w:spacing w:line="276" w:lineRule="auto"/>
        <w:ind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若外加碳源，可实现深度脱氮。</w:t>
      </w:r>
    </w:p>
    <w:p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drawing>
          <wp:inline distT="0" distB="0" distL="0" distR="0">
            <wp:extent cx="4347845" cy="1323975"/>
            <wp:effectExtent l="0" t="0" r="1460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78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图X-X 改良UCT技术工艺图（或设施照片）</w:t>
      </w:r>
    </w:p>
    <w:p>
      <w:pPr>
        <w:jc w:val="center"/>
        <w:rPr>
          <w:rFonts w:ascii="仿宋_GB2312" w:eastAsia="仿宋_GB2312"/>
          <w:sz w:val="24"/>
        </w:rPr>
      </w:pPr>
    </w:p>
    <w:p>
      <w:pPr>
        <w:spacing w:before="156" w:beforeLines="50" w:after="156" w:afterLines="50" w:line="36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四、技术指标</w:t>
      </w:r>
    </w:p>
    <w:p>
      <w:pPr>
        <w:snapToGrid w:val="0"/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根据×××出具的验收报告，项目出水达到的GB18918-2002《城镇污水处理厂污染物排放标准》一级A标准要求。以平均进水TN</w:t>
      </w:r>
      <w:r>
        <w:rPr>
          <w:rFonts w:hint="eastAsia" w:ascii="宋体" w:hAnsi="宋体" w:cs="宋体"/>
          <w:sz w:val="24"/>
        </w:rPr>
        <w:t>为</w:t>
      </w:r>
      <w:r>
        <w:rPr>
          <w:rFonts w:hint="eastAsia" w:ascii="仿宋_GB2312" w:eastAsia="仿宋_GB2312"/>
          <w:sz w:val="24"/>
        </w:rPr>
        <w:t>××mg/L，TP</w:t>
      </w:r>
      <w:r>
        <w:rPr>
          <w:rFonts w:hint="eastAsia" w:ascii="宋体" w:hAnsi="宋体" w:cs="宋体"/>
          <w:sz w:val="24"/>
        </w:rPr>
        <w:t>≦</w:t>
      </w:r>
      <w:r>
        <w:rPr>
          <w:rFonts w:hint="eastAsia" w:ascii="仿宋_GB2312" w:eastAsia="仿宋_GB2312"/>
          <w:sz w:val="24"/>
        </w:rPr>
        <w:t>××</w:t>
      </w:r>
      <w:r>
        <w:rPr>
          <w:rFonts w:ascii="仿宋_GB2312" w:eastAsia="仿宋_GB2312"/>
          <w:sz w:val="24"/>
        </w:rPr>
        <w:t>mg</w:t>
      </w:r>
      <w:r>
        <w:rPr>
          <w:rFonts w:hint="eastAsia" w:ascii="仿宋_GB2312" w:eastAsia="仿宋_GB2312"/>
          <w:sz w:val="24"/>
        </w:rPr>
        <w:t>/L计，该污水厂每年消减总氮排放××吨，减少总磷排放××吨。利用本工艺投加适量外碳源和混凝剂可实现深度脱</w:t>
      </w:r>
      <w:r>
        <w:rPr>
          <w:rFonts w:hint="eastAsia" w:ascii="仿宋_GB2312" w:eastAsia="仿宋_GB2312"/>
          <w:kern w:val="0"/>
          <w:sz w:val="24"/>
        </w:rPr>
        <w:t>氮除磷（TN</w:t>
      </w:r>
      <w:r>
        <w:rPr>
          <w:rFonts w:hint="eastAsia" w:ascii="宋体" w:hAnsi="宋体" w:cs="宋体"/>
          <w:kern w:val="0"/>
          <w:sz w:val="24"/>
        </w:rPr>
        <w:t>≦</w:t>
      </w:r>
      <w:r>
        <w:rPr>
          <w:rFonts w:hint="eastAsia" w:ascii="仿宋_GB2312" w:eastAsia="仿宋_GB2312"/>
          <w:sz w:val="24"/>
        </w:rPr>
        <w:t>×</w:t>
      </w:r>
      <w:r>
        <w:rPr>
          <w:rFonts w:hint="eastAsia" w:ascii="仿宋_GB2312" w:eastAsia="仿宋_GB2312"/>
          <w:kern w:val="0"/>
          <w:sz w:val="24"/>
        </w:rPr>
        <w:t>mg/L，NH4</w:t>
      </w:r>
      <w:r>
        <w:rPr>
          <w:rFonts w:hint="eastAsia" w:ascii="仿宋_GB2312" w:eastAsia="仿宋_GB2312"/>
          <w:kern w:val="0"/>
          <w:sz w:val="24"/>
          <w:vertAlign w:val="superscript"/>
        </w:rPr>
        <w:t>+</w:t>
      </w:r>
      <w:r>
        <w:rPr>
          <w:rFonts w:hint="eastAsia" w:ascii="仿宋_GB2312" w:eastAsia="仿宋_GB2312"/>
          <w:kern w:val="0"/>
          <w:sz w:val="24"/>
        </w:rPr>
        <w:t>-N</w:t>
      </w:r>
      <w:r>
        <w:rPr>
          <w:rFonts w:hint="eastAsia" w:ascii="宋体" w:hAnsi="宋体" w:cs="宋体"/>
          <w:kern w:val="0"/>
          <w:sz w:val="24"/>
        </w:rPr>
        <w:t>≦</w:t>
      </w:r>
      <w:r>
        <w:rPr>
          <w:rFonts w:hint="eastAsia" w:ascii="仿宋_GB2312" w:eastAsia="仿宋_GB2312"/>
          <w:sz w:val="24"/>
        </w:rPr>
        <w:t>×</w:t>
      </w:r>
      <w:r>
        <w:rPr>
          <w:rFonts w:hint="eastAsia" w:ascii="仿宋_GB2312" w:eastAsia="仿宋_GB2312"/>
          <w:kern w:val="0"/>
          <w:sz w:val="24"/>
        </w:rPr>
        <w:t>mg/L，TP</w:t>
      </w:r>
      <w:r>
        <w:rPr>
          <w:rFonts w:hint="eastAsia" w:ascii="宋体" w:hAnsi="宋体" w:cs="宋体"/>
          <w:kern w:val="0"/>
          <w:sz w:val="24"/>
        </w:rPr>
        <w:t>≦</w:t>
      </w:r>
      <w:r>
        <w:rPr>
          <w:rFonts w:hint="eastAsia" w:ascii="仿宋_GB2312" w:eastAsia="仿宋_GB2312"/>
          <w:sz w:val="24"/>
        </w:rPr>
        <w:t>×</w:t>
      </w:r>
      <w:r>
        <w:rPr>
          <w:rFonts w:hint="eastAsia" w:ascii="仿宋_GB2312" w:eastAsia="仿宋_GB2312"/>
          <w:kern w:val="0"/>
          <w:sz w:val="24"/>
        </w:rPr>
        <w:t>mg/L）。该技术有明显的节能效果，吨水电耗下降</w:t>
      </w:r>
      <w:r>
        <w:rPr>
          <w:rFonts w:hint="eastAsia" w:ascii="仿宋_GB2312" w:eastAsia="仿宋_GB2312"/>
          <w:sz w:val="24"/>
        </w:rPr>
        <w:t>×%，年节电××Kwh</w:t>
      </w:r>
      <w:r>
        <w:rPr>
          <w:rFonts w:hint="eastAsia" w:ascii="仿宋_GB2312" w:hAnsi="宋体" w:eastAsia="仿宋_GB2312" w:cs="宋体"/>
          <w:kern w:val="0"/>
          <w:sz w:val="24"/>
        </w:rPr>
        <w:t>。</w:t>
      </w:r>
    </w:p>
    <w:p>
      <w:pPr>
        <w:spacing w:before="156" w:beforeLines="50" w:after="156" w:afterLines="50" w:line="36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五、投资费用</w:t>
      </w:r>
    </w:p>
    <w:p>
      <w:pPr>
        <w:snapToGrid w:val="0"/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本项目总投资约××万元，其中设备投资××万元，基建投资××万元，其他投资××万元,吨水投资费用为××××元。主体设备寿命××年，投资回收年限××年。</w:t>
      </w:r>
    </w:p>
    <w:p>
      <w:pPr>
        <w:spacing w:before="156" w:beforeLines="50" w:after="156" w:afterLines="50" w:line="36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六、运行费用</w:t>
      </w:r>
    </w:p>
    <w:p>
      <w:pPr>
        <w:snapToGrid w:val="0"/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根据××年××月-××年××月实际运行情况，年处理污水××吨，年运行费用××万元，吨水运行费用为×元；利用本工艺投加适量外碳源和混凝剂实现深度处理，投加××（碳源）××吨，混凝剂××吨，年运行费用将增加××万元，吨水运行费用增加×元。</w:t>
      </w:r>
    </w:p>
    <w:p>
      <w:pPr>
        <w:spacing w:before="156" w:beforeLines="50" w:after="156" w:afterLines="50" w:line="36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七、用户意见</w:t>
      </w:r>
    </w:p>
    <w:p>
      <w:pPr>
        <w:snapToGrid w:val="0"/>
        <w:spacing w:line="276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该工程为我公司带来了显著的经济环境效益，是值得推广应用的示范工程。投运至今，各项技术指标优良，出水水质稳定达到设计要求，对××××××有很大的促进作用。希望对技术的××××进行改进，提高××××，进一步完善××××。</w:t>
      </w:r>
    </w:p>
    <w:p>
      <w:pPr>
        <w:spacing w:before="156" w:beforeLines="50" w:after="156" w:afterLines="50" w:line="36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八、联系方式</w:t>
      </w:r>
    </w:p>
    <w:p>
      <w:pPr>
        <w:snapToGrid w:val="0"/>
        <w:spacing w:line="276" w:lineRule="auto"/>
        <w:ind w:firstLine="480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技术咨询单位：××××××</w:t>
      </w:r>
    </w:p>
    <w:p>
      <w:pPr>
        <w:snapToGrid w:val="0"/>
        <w:spacing w:line="276" w:lineRule="auto"/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联系人：××××××</w:t>
      </w:r>
    </w:p>
    <w:p>
      <w:pPr>
        <w:snapToGrid w:val="0"/>
        <w:spacing w:line="276" w:lineRule="auto"/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电  话：××××××</w:t>
      </w:r>
    </w:p>
    <w:p>
      <w:pPr>
        <w:snapToGrid w:val="0"/>
        <w:spacing w:line="276" w:lineRule="auto"/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址：××××××</w:t>
      </w:r>
    </w:p>
    <w:p>
      <w:pPr>
        <w:snapToGrid w:val="0"/>
        <w:spacing w:line="276" w:lineRule="auto"/>
        <w:ind w:firstLine="480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邮  编：××××××</w:t>
      </w:r>
    </w:p>
    <w:p>
      <w:pPr>
        <w:adjustRightInd w:val="0"/>
        <w:snapToGrid w:val="0"/>
        <w:spacing w:line="276" w:lineRule="auto"/>
        <w:ind w:firstLine="480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E-mail：××××××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B74"/>
    <w:multiLevelType w:val="multilevel"/>
    <w:tmpl w:val="02646B74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A0CE3"/>
    <w:rsid w:val="1A5D4EA7"/>
    <w:rsid w:val="1AED164E"/>
    <w:rsid w:val="1DC0092C"/>
    <w:rsid w:val="20CC0B81"/>
    <w:rsid w:val="21731C75"/>
    <w:rsid w:val="35DD56F9"/>
    <w:rsid w:val="4304753A"/>
    <w:rsid w:val="582C7A4F"/>
    <w:rsid w:val="69123222"/>
    <w:rsid w:val="70BC0403"/>
    <w:rsid w:val="71931A3E"/>
    <w:rsid w:val="778A0CE3"/>
    <w:rsid w:val="7AF85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2017-09-07T07:01:00Z</dcterms:created>
  <dc:creator>Administrator</dc:creator>
  <cp:lastModifiedBy>Administrator</cp:lastModifiedBy>
  <dcterms:modified xsi:type="dcterms:W3CDTF">2017-09-08T02:50:06Z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